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E060" w14:textId="7B3802F7" w:rsidR="00AF47D8" w:rsidRDefault="00BE61C2" w:rsidP="00BE61C2">
      <w:pPr>
        <w:spacing w:after="0" w:line="480" w:lineRule="auto"/>
        <w:contextualSpacing/>
        <w:jc w:val="center"/>
        <w:rPr>
          <w:rFonts w:ascii="Times New Roman" w:hAnsi="Times New Roman" w:cs="Times New Roman"/>
        </w:rPr>
      </w:pPr>
      <w:r>
        <w:rPr>
          <w:rFonts w:ascii="Times New Roman" w:hAnsi="Times New Roman" w:cs="Times New Roman"/>
        </w:rPr>
        <w:t>Time Value of Money</w:t>
      </w:r>
    </w:p>
    <w:p w14:paraId="5440F6E2" w14:textId="77777777" w:rsidR="00BE61C2" w:rsidRPr="00BE61C2" w:rsidRDefault="00BE61C2" w:rsidP="00BE61C2">
      <w:pPr>
        <w:pStyle w:val="ListParagraph"/>
        <w:numPr>
          <w:ilvl w:val="0"/>
          <w:numId w:val="1"/>
        </w:numPr>
        <w:spacing w:after="0" w:line="480" w:lineRule="auto"/>
        <w:rPr>
          <w:rFonts w:ascii="Times New Roman" w:hAnsi="Times New Roman" w:cs="Times New Roman"/>
        </w:rPr>
      </w:pPr>
      <w:r w:rsidRPr="00BE61C2">
        <w:rPr>
          <w:rFonts w:ascii="Times New Roman" w:hAnsi="Times New Roman" w:cs="Times New Roman"/>
          <w:b/>
          <w:bCs/>
        </w:rPr>
        <w:t>Future Value of a Single Sum</w:t>
      </w:r>
    </w:p>
    <w:p w14:paraId="5B4C0E85" w14:textId="77777777" w:rsidR="00BE61C2" w:rsidRPr="00BE61C2" w:rsidRDefault="00BE61C2" w:rsidP="00BE61C2">
      <w:pPr>
        <w:pStyle w:val="ListParagraph"/>
        <w:spacing w:after="0" w:line="480" w:lineRule="auto"/>
        <w:rPr>
          <w:rFonts w:ascii="Times New Roman" w:hAnsi="Times New Roman" w:cs="Times New Roman"/>
        </w:rPr>
      </w:pPr>
      <w:r w:rsidRPr="00BE61C2">
        <w:rPr>
          <w:rFonts w:ascii="Times New Roman" w:hAnsi="Times New Roman" w:cs="Times New Roman"/>
          <w:b/>
          <w:bCs/>
        </w:rPr>
        <w:t>Given:</w:t>
      </w:r>
      <w:r w:rsidRPr="00BE61C2">
        <w:rPr>
          <w:rFonts w:ascii="Times New Roman" w:hAnsi="Times New Roman" w:cs="Times New Roman"/>
        </w:rPr>
        <w:br/>
        <w:t>PV = $200</w:t>
      </w:r>
      <w:r w:rsidRPr="00BE61C2">
        <w:rPr>
          <w:rFonts w:ascii="Times New Roman" w:hAnsi="Times New Roman" w:cs="Times New Roman"/>
        </w:rPr>
        <w:br/>
        <w:t>r = 4%</w:t>
      </w:r>
      <w:r w:rsidRPr="00BE61C2">
        <w:rPr>
          <w:rFonts w:ascii="Times New Roman" w:hAnsi="Times New Roman" w:cs="Times New Roman"/>
        </w:rPr>
        <w:br/>
        <w:t>n = 5 years</w:t>
      </w:r>
    </w:p>
    <w:p w14:paraId="0FD5FD07" w14:textId="77777777" w:rsidR="00BE61C2" w:rsidRPr="00BE61C2" w:rsidRDefault="00BE61C2" w:rsidP="00BE61C2">
      <w:pPr>
        <w:pStyle w:val="ListParagraph"/>
        <w:spacing w:after="0" w:line="480" w:lineRule="auto"/>
        <w:rPr>
          <w:rFonts w:ascii="Times New Roman" w:hAnsi="Times New Roman" w:cs="Times New Roman"/>
        </w:rPr>
      </w:pPr>
      <w:r w:rsidRPr="00BE61C2">
        <w:rPr>
          <w:rFonts w:ascii="Times New Roman" w:hAnsi="Times New Roman" w:cs="Times New Roman"/>
          <w:b/>
          <w:bCs/>
        </w:rPr>
        <w:t>TVM Table (FV of $1 at 4% for 5 years):</w:t>
      </w:r>
      <w:r w:rsidRPr="00BE61C2">
        <w:rPr>
          <w:rFonts w:ascii="Times New Roman" w:hAnsi="Times New Roman" w:cs="Times New Roman"/>
        </w:rPr>
        <w:br/>
        <w:t>Factor = 1.217</w:t>
      </w:r>
    </w:p>
    <w:p w14:paraId="46D025EE" w14:textId="77777777" w:rsidR="009C45CA" w:rsidRDefault="00BE61C2" w:rsidP="00BE61C2">
      <w:pPr>
        <w:pStyle w:val="ListParagraph"/>
        <w:spacing w:after="0" w:line="480" w:lineRule="auto"/>
        <w:rPr>
          <w:rFonts w:ascii="Times New Roman" w:hAnsi="Times New Roman" w:cs="Times New Roman"/>
        </w:rPr>
      </w:pPr>
      <w:r w:rsidRPr="00BE61C2">
        <w:rPr>
          <w:rFonts w:ascii="Times New Roman" w:hAnsi="Times New Roman" w:cs="Times New Roman"/>
          <w:b/>
          <w:bCs/>
        </w:rPr>
        <w:t>Calculation (Table):</w:t>
      </w:r>
      <w:r w:rsidRPr="00BE61C2">
        <w:rPr>
          <w:rFonts w:ascii="Times New Roman" w:hAnsi="Times New Roman" w:cs="Times New Roman"/>
        </w:rPr>
        <w:br/>
        <w:t>$200 × 1.217 = $243.40</w:t>
      </w:r>
    </w:p>
    <w:p w14:paraId="2AEDED3C" w14:textId="2C474FE1" w:rsidR="00BE61C2" w:rsidRDefault="00BE61C2" w:rsidP="00BE61C2">
      <w:pPr>
        <w:pStyle w:val="ListParagraph"/>
        <w:spacing w:after="0" w:line="480" w:lineRule="auto"/>
        <w:rPr>
          <w:rFonts w:ascii="Times New Roman" w:hAnsi="Times New Roman" w:cs="Times New Roman"/>
        </w:rPr>
      </w:pPr>
      <w:r>
        <w:rPr>
          <w:rFonts w:ascii="Times New Roman" w:hAnsi="Times New Roman" w:cs="Times New Roman"/>
          <w:b/>
          <w:bCs/>
        </w:rPr>
        <w:t xml:space="preserve"> </w:t>
      </w:r>
      <w:r w:rsidRPr="00BE61C2">
        <w:rPr>
          <w:rFonts w:ascii="Times New Roman" w:hAnsi="Times New Roman" w:cs="Times New Roman"/>
          <w:b/>
          <w:bCs/>
        </w:rPr>
        <w:t>Calculator Result</w:t>
      </w:r>
      <w:r>
        <w:rPr>
          <w:rFonts w:ascii="Times New Roman" w:hAnsi="Times New Roman" w:cs="Times New Roman"/>
          <w:b/>
          <w:bCs/>
        </w:rPr>
        <w:t xml:space="preserve"> </w:t>
      </w:r>
      <w:r w:rsidRPr="00BE61C2">
        <w:rPr>
          <w:rFonts w:ascii="Times New Roman" w:hAnsi="Times New Roman" w:cs="Times New Roman"/>
        </w:rPr>
        <w:t>$243.33</w:t>
      </w:r>
    </w:p>
    <w:p w14:paraId="11E87BCD" w14:textId="77777777" w:rsidR="009C45CA" w:rsidRDefault="009C45CA" w:rsidP="00BE61C2">
      <w:pPr>
        <w:pStyle w:val="ListParagraph"/>
        <w:spacing w:after="0" w:line="480" w:lineRule="auto"/>
        <w:rPr>
          <w:rFonts w:ascii="Times New Roman" w:hAnsi="Times New Roman" w:cs="Times New Roman"/>
        </w:rPr>
      </w:pPr>
    </w:p>
    <w:p w14:paraId="494DCEFD" w14:textId="77777777" w:rsidR="00333389" w:rsidRDefault="00333389" w:rsidP="00333389">
      <w:pPr>
        <w:pStyle w:val="NormalWeb"/>
        <w:numPr>
          <w:ilvl w:val="0"/>
          <w:numId w:val="1"/>
        </w:numPr>
        <w:spacing w:before="0" w:beforeAutospacing="0" w:after="0" w:afterAutospacing="0" w:line="480" w:lineRule="auto"/>
        <w:contextualSpacing/>
      </w:pPr>
      <w:r>
        <w:rPr>
          <w:rStyle w:val="Strong"/>
          <w:rFonts w:eastAsiaTheme="majorEastAsia"/>
        </w:rPr>
        <w:t>Future Value of an Ordinary Annuity</w:t>
      </w:r>
    </w:p>
    <w:p w14:paraId="490AABCF" w14:textId="77777777" w:rsidR="00333389" w:rsidRDefault="00333389" w:rsidP="00333389">
      <w:pPr>
        <w:pStyle w:val="NormalWeb"/>
        <w:spacing w:before="0" w:beforeAutospacing="0" w:after="0" w:afterAutospacing="0" w:line="480" w:lineRule="auto"/>
        <w:ind w:left="360"/>
        <w:contextualSpacing/>
      </w:pPr>
      <w:r>
        <w:t>You invest $200 at the end of each year for 5 years at 4%.</w:t>
      </w:r>
    </w:p>
    <w:p w14:paraId="396DED41" w14:textId="77777777" w:rsidR="00333389" w:rsidRDefault="00333389" w:rsidP="00333389">
      <w:pPr>
        <w:pStyle w:val="NormalWeb"/>
        <w:spacing w:before="0" w:beforeAutospacing="0" w:after="0" w:afterAutospacing="0" w:line="480" w:lineRule="auto"/>
        <w:ind w:left="360"/>
        <w:contextualSpacing/>
      </w:pPr>
      <w:r>
        <w:rPr>
          <w:rStyle w:val="Strong"/>
          <w:rFonts w:eastAsiaTheme="majorEastAsia"/>
        </w:rPr>
        <w:t>TVM Table (FV of an Annuity at 4% for 5 years):</w:t>
      </w:r>
      <w:r>
        <w:br/>
        <w:t xml:space="preserve">Factor = </w:t>
      </w:r>
      <w:r w:rsidRPr="00333389">
        <w:rPr>
          <w:rStyle w:val="Strong"/>
          <w:rFonts w:eastAsiaTheme="majorEastAsia"/>
          <w:b w:val="0"/>
          <w:bCs w:val="0"/>
        </w:rPr>
        <w:t>5.416</w:t>
      </w:r>
    </w:p>
    <w:p w14:paraId="0A56BC2A" w14:textId="77777777" w:rsidR="009C45CA" w:rsidRDefault="00333389" w:rsidP="00333389">
      <w:pPr>
        <w:pStyle w:val="NormalWeb"/>
        <w:spacing w:before="0" w:beforeAutospacing="0" w:after="0" w:afterAutospacing="0" w:line="480" w:lineRule="auto"/>
        <w:ind w:left="360"/>
        <w:contextualSpacing/>
      </w:pPr>
      <w:r>
        <w:rPr>
          <w:rStyle w:val="Strong"/>
          <w:rFonts w:eastAsiaTheme="majorEastAsia"/>
        </w:rPr>
        <w:t>Calculation (Table):</w:t>
      </w:r>
      <w:r>
        <w:br/>
        <w:t xml:space="preserve">$200 × 5.416 = </w:t>
      </w:r>
      <w:r w:rsidRPr="00333389">
        <w:rPr>
          <w:rStyle w:val="Strong"/>
          <w:rFonts w:eastAsiaTheme="majorEastAsia"/>
          <w:b w:val="0"/>
          <w:bCs w:val="0"/>
        </w:rPr>
        <w:t>$1,083.20</w:t>
      </w:r>
    </w:p>
    <w:p w14:paraId="5F97BD37" w14:textId="5DDD3568" w:rsidR="00333389" w:rsidRDefault="00333389" w:rsidP="00333389">
      <w:pPr>
        <w:pStyle w:val="NormalWeb"/>
        <w:spacing w:before="0" w:beforeAutospacing="0" w:after="0" w:afterAutospacing="0" w:line="480" w:lineRule="auto"/>
        <w:ind w:left="360"/>
        <w:contextualSpacing/>
        <w:rPr>
          <w:rStyle w:val="Strong"/>
          <w:rFonts w:eastAsiaTheme="majorEastAsia"/>
          <w:b w:val="0"/>
          <w:bCs w:val="0"/>
        </w:rPr>
      </w:pPr>
      <w:r w:rsidRPr="00333389">
        <w:rPr>
          <w:rStyle w:val="Strong"/>
          <w:rFonts w:eastAsiaTheme="majorEastAsia"/>
        </w:rPr>
        <w:t>Calculator Result:</w:t>
      </w:r>
      <w:r>
        <w:t xml:space="preserve"> </w:t>
      </w:r>
      <w:r w:rsidRPr="00333389">
        <w:rPr>
          <w:rStyle w:val="Strong"/>
          <w:rFonts w:eastAsiaTheme="majorEastAsia"/>
          <w:b w:val="0"/>
          <w:bCs w:val="0"/>
        </w:rPr>
        <w:t>$1,083.26</w:t>
      </w:r>
    </w:p>
    <w:p w14:paraId="2788A972" w14:textId="77777777" w:rsidR="00DB4321" w:rsidRDefault="00DB4321" w:rsidP="00333389">
      <w:pPr>
        <w:pStyle w:val="NormalWeb"/>
        <w:spacing w:before="0" w:beforeAutospacing="0" w:after="0" w:afterAutospacing="0" w:line="480" w:lineRule="auto"/>
        <w:ind w:left="360"/>
        <w:contextualSpacing/>
        <w:rPr>
          <w:rStyle w:val="Strong"/>
          <w:rFonts w:eastAsiaTheme="majorEastAsia"/>
          <w:b w:val="0"/>
          <w:bCs w:val="0"/>
        </w:rPr>
      </w:pPr>
    </w:p>
    <w:p w14:paraId="763E6F2D" w14:textId="77777777" w:rsidR="00A56639" w:rsidRDefault="00A56639" w:rsidP="009C45CA">
      <w:pPr>
        <w:pStyle w:val="NormalWeb"/>
        <w:numPr>
          <w:ilvl w:val="0"/>
          <w:numId w:val="1"/>
        </w:numPr>
        <w:spacing w:before="0" w:beforeAutospacing="0" w:after="0" w:afterAutospacing="0" w:line="480" w:lineRule="auto"/>
        <w:contextualSpacing/>
      </w:pPr>
      <w:r>
        <w:rPr>
          <w:rStyle w:val="Strong"/>
          <w:rFonts w:eastAsiaTheme="majorEastAsia"/>
        </w:rPr>
        <w:t>Present Value of a Single Sum</w:t>
      </w:r>
    </w:p>
    <w:p w14:paraId="543C0C4E" w14:textId="77777777" w:rsidR="00A56639" w:rsidRDefault="00A56639" w:rsidP="009C45CA">
      <w:pPr>
        <w:pStyle w:val="NormalWeb"/>
        <w:spacing w:before="0" w:beforeAutospacing="0" w:after="0" w:afterAutospacing="0" w:line="480" w:lineRule="auto"/>
        <w:ind w:left="360"/>
        <w:contextualSpacing/>
      </w:pPr>
      <w:r>
        <w:rPr>
          <w:rStyle w:val="Strong"/>
          <w:rFonts w:eastAsiaTheme="majorEastAsia"/>
        </w:rPr>
        <w:t>Given:</w:t>
      </w:r>
      <w:r>
        <w:br/>
        <w:t>FV = $30,000</w:t>
      </w:r>
      <w:r>
        <w:br/>
      </w:r>
      <w:r>
        <w:lastRenderedPageBreak/>
        <w:t>r = 10%</w:t>
      </w:r>
      <w:r>
        <w:br/>
        <w:t>n = 10 years</w:t>
      </w:r>
    </w:p>
    <w:p w14:paraId="1EB0E906" w14:textId="77777777" w:rsidR="00A56639" w:rsidRDefault="00A56639" w:rsidP="009C45CA">
      <w:pPr>
        <w:pStyle w:val="NormalWeb"/>
        <w:spacing w:before="0" w:beforeAutospacing="0" w:after="0" w:afterAutospacing="0" w:line="480" w:lineRule="auto"/>
        <w:contextualSpacing/>
      </w:pPr>
      <w:r>
        <w:rPr>
          <w:rStyle w:val="Strong"/>
          <w:rFonts w:eastAsiaTheme="majorEastAsia"/>
        </w:rPr>
        <w:t>TVM Table (PV of $1 at 10% for 10 years):</w:t>
      </w:r>
      <w:r>
        <w:br/>
        <w:t xml:space="preserve">Factor = </w:t>
      </w:r>
      <w:r w:rsidRPr="00A56639">
        <w:rPr>
          <w:rStyle w:val="Strong"/>
          <w:rFonts w:eastAsiaTheme="majorEastAsia"/>
          <w:b w:val="0"/>
          <w:bCs w:val="0"/>
        </w:rPr>
        <w:t>0.386</w:t>
      </w:r>
    </w:p>
    <w:p w14:paraId="149AB06B" w14:textId="77777777" w:rsidR="009C45CA" w:rsidRDefault="00A56639" w:rsidP="009C45CA">
      <w:pPr>
        <w:pStyle w:val="NormalWeb"/>
        <w:spacing w:before="0" w:beforeAutospacing="0" w:after="0" w:afterAutospacing="0" w:line="480" w:lineRule="auto"/>
        <w:contextualSpacing/>
      </w:pPr>
      <w:r>
        <w:rPr>
          <w:rStyle w:val="Strong"/>
          <w:rFonts w:eastAsiaTheme="majorEastAsia"/>
        </w:rPr>
        <w:t>Calculation (Table):</w:t>
      </w:r>
      <w:r>
        <w:rPr>
          <w:rStyle w:val="Strong"/>
          <w:rFonts w:eastAsiaTheme="majorEastAsia"/>
        </w:rPr>
        <w:t xml:space="preserve"> </w:t>
      </w:r>
      <w:r>
        <w:t xml:space="preserve">$30,000 × 0.386 = </w:t>
      </w:r>
      <w:r w:rsidRPr="00A56639">
        <w:rPr>
          <w:rStyle w:val="Strong"/>
          <w:rFonts w:eastAsiaTheme="majorEastAsia"/>
        </w:rPr>
        <w:t>$</w:t>
      </w:r>
      <w:r w:rsidRPr="00A56639">
        <w:rPr>
          <w:rStyle w:val="Strong"/>
          <w:rFonts w:eastAsiaTheme="majorEastAsia"/>
          <w:b w:val="0"/>
          <w:bCs w:val="0"/>
        </w:rPr>
        <w:t>11,580</w:t>
      </w:r>
    </w:p>
    <w:p w14:paraId="03AF370E" w14:textId="2F7E1FE7" w:rsidR="00A56639" w:rsidRDefault="00A56639" w:rsidP="009C45CA">
      <w:pPr>
        <w:pStyle w:val="NormalWeb"/>
        <w:spacing w:before="0" w:beforeAutospacing="0" w:after="0" w:afterAutospacing="0" w:line="480" w:lineRule="auto"/>
        <w:contextualSpacing/>
        <w:rPr>
          <w:rStyle w:val="Strong"/>
          <w:rFonts w:eastAsiaTheme="majorEastAsia"/>
          <w:b w:val="0"/>
          <w:bCs w:val="0"/>
        </w:rPr>
      </w:pPr>
      <w:r>
        <w:t xml:space="preserve"> </w:t>
      </w:r>
      <w:r>
        <w:rPr>
          <w:rStyle w:val="Strong"/>
          <w:rFonts w:eastAsiaTheme="majorEastAsia"/>
        </w:rPr>
        <w:t>Calculator Result:</w:t>
      </w:r>
      <w:r>
        <w:br/>
      </w:r>
      <w:r w:rsidRPr="00A56639">
        <w:rPr>
          <w:rStyle w:val="Strong"/>
          <w:rFonts w:eastAsiaTheme="majorEastAsia"/>
          <w:b w:val="0"/>
          <w:bCs w:val="0"/>
        </w:rPr>
        <w:t>$11,566.30</w:t>
      </w:r>
    </w:p>
    <w:p w14:paraId="6951CF04" w14:textId="77777777" w:rsidR="00DB4321" w:rsidRDefault="00DB4321" w:rsidP="009C45CA">
      <w:pPr>
        <w:pStyle w:val="NormalWeb"/>
        <w:spacing w:before="0" w:beforeAutospacing="0" w:after="0" w:afterAutospacing="0" w:line="480" w:lineRule="auto"/>
        <w:contextualSpacing/>
        <w:rPr>
          <w:rStyle w:val="Strong"/>
          <w:rFonts w:eastAsiaTheme="majorEastAsia"/>
          <w:b w:val="0"/>
          <w:bCs w:val="0"/>
        </w:rPr>
      </w:pPr>
    </w:p>
    <w:p w14:paraId="0C640A06" w14:textId="77777777" w:rsidR="009C45CA" w:rsidRDefault="009C45CA" w:rsidP="009C45CA">
      <w:pPr>
        <w:pStyle w:val="NormalWeb"/>
        <w:numPr>
          <w:ilvl w:val="0"/>
          <w:numId w:val="1"/>
        </w:numPr>
        <w:spacing w:before="0" w:beforeAutospacing="0" w:after="0" w:afterAutospacing="0" w:line="480" w:lineRule="auto"/>
        <w:contextualSpacing/>
      </w:pPr>
      <w:r>
        <w:rPr>
          <w:rStyle w:val="Strong"/>
          <w:rFonts w:eastAsiaTheme="majorEastAsia"/>
        </w:rPr>
        <w:t>Present Value of an Annuity</w:t>
      </w:r>
    </w:p>
    <w:p w14:paraId="74E133A3" w14:textId="77777777" w:rsidR="009C45CA" w:rsidRDefault="009C45CA" w:rsidP="009C45CA">
      <w:pPr>
        <w:pStyle w:val="NormalWeb"/>
        <w:spacing w:before="0" w:beforeAutospacing="0" w:after="0" w:afterAutospacing="0" w:line="480" w:lineRule="auto"/>
        <w:ind w:left="360"/>
        <w:contextualSpacing/>
      </w:pPr>
      <w:r>
        <w:t>You receive $3,000 per year for 10 years at 10%.</w:t>
      </w:r>
    </w:p>
    <w:p w14:paraId="7E86DB8A" w14:textId="77777777" w:rsidR="009C45CA" w:rsidRDefault="009C45CA" w:rsidP="009C45CA">
      <w:pPr>
        <w:pStyle w:val="NormalWeb"/>
        <w:spacing w:before="0" w:beforeAutospacing="0" w:after="0" w:afterAutospacing="0" w:line="480" w:lineRule="auto"/>
        <w:contextualSpacing/>
      </w:pPr>
      <w:r>
        <w:rPr>
          <w:rStyle w:val="Strong"/>
          <w:rFonts w:eastAsiaTheme="majorEastAsia"/>
        </w:rPr>
        <w:t>TVM Table (PV of an Annuity at 10% for 10 years):</w:t>
      </w:r>
      <w:r>
        <w:br/>
        <w:t xml:space="preserve">Factor = </w:t>
      </w:r>
      <w:r w:rsidRPr="009C45CA">
        <w:rPr>
          <w:rStyle w:val="Strong"/>
          <w:rFonts w:eastAsiaTheme="majorEastAsia"/>
          <w:b w:val="0"/>
          <w:bCs w:val="0"/>
        </w:rPr>
        <w:t>6.145</w:t>
      </w:r>
    </w:p>
    <w:p w14:paraId="16A1298F" w14:textId="77777777" w:rsidR="009C45CA" w:rsidRDefault="009C45CA" w:rsidP="009C45CA">
      <w:pPr>
        <w:pStyle w:val="NormalWeb"/>
        <w:spacing w:before="0" w:beforeAutospacing="0" w:after="0" w:afterAutospacing="0" w:line="480" w:lineRule="auto"/>
        <w:contextualSpacing/>
      </w:pPr>
      <w:r>
        <w:rPr>
          <w:rStyle w:val="Strong"/>
          <w:rFonts w:eastAsiaTheme="majorEastAsia"/>
        </w:rPr>
        <w:t>Calculation (Table):</w:t>
      </w:r>
      <w:r>
        <w:br/>
        <w:t xml:space="preserve">$3,000 × 6.145 = </w:t>
      </w:r>
      <w:r w:rsidRPr="009C45CA">
        <w:rPr>
          <w:rStyle w:val="Strong"/>
          <w:rFonts w:eastAsiaTheme="majorEastAsia"/>
          <w:b w:val="0"/>
          <w:bCs w:val="0"/>
        </w:rPr>
        <w:t>$18,435</w:t>
      </w:r>
    </w:p>
    <w:p w14:paraId="3FC40022" w14:textId="77777777" w:rsidR="009C45CA" w:rsidRDefault="009C45CA" w:rsidP="009C45CA">
      <w:pPr>
        <w:pStyle w:val="NormalWeb"/>
        <w:spacing w:before="0" w:beforeAutospacing="0" w:after="0" w:afterAutospacing="0" w:line="480" w:lineRule="auto"/>
        <w:contextualSpacing/>
      </w:pPr>
      <w:r>
        <w:rPr>
          <w:rStyle w:val="Strong"/>
          <w:rFonts w:eastAsiaTheme="majorEastAsia"/>
        </w:rPr>
        <w:t>Calculator Result:</w:t>
      </w:r>
      <w:r>
        <w:br/>
      </w:r>
      <w:r>
        <w:rPr>
          <w:rStyle w:val="Strong"/>
          <w:rFonts w:eastAsiaTheme="majorEastAsia"/>
        </w:rPr>
        <w:t>$18,433.70</w:t>
      </w:r>
    </w:p>
    <w:p w14:paraId="628256F6" w14:textId="77777777" w:rsidR="007C7338" w:rsidRPr="007C7338" w:rsidRDefault="007C7338" w:rsidP="007C7338">
      <w:pPr>
        <w:pStyle w:val="NormalWeb"/>
        <w:numPr>
          <w:ilvl w:val="0"/>
          <w:numId w:val="1"/>
        </w:numPr>
        <w:spacing w:before="0" w:beforeAutospacing="0" w:after="0" w:afterAutospacing="0" w:line="480" w:lineRule="auto"/>
        <w:contextualSpacing/>
      </w:pPr>
      <w:r w:rsidRPr="007C7338">
        <w:rPr>
          <w:b/>
          <w:bCs/>
        </w:rPr>
        <w:t>Mixed Investment Scenario</w:t>
      </w:r>
    </w:p>
    <w:p w14:paraId="3D4F144D" w14:textId="77777777" w:rsidR="007C7338" w:rsidRPr="007C7338" w:rsidRDefault="007C7338" w:rsidP="007C7338">
      <w:pPr>
        <w:pStyle w:val="NormalWeb"/>
        <w:spacing w:before="0" w:beforeAutospacing="0" w:after="0" w:afterAutospacing="0" w:line="480" w:lineRule="auto"/>
        <w:ind w:left="360"/>
        <w:contextualSpacing/>
      </w:pPr>
      <w:r w:rsidRPr="007C7338">
        <w:t>$100 invested at 3% for 1 year</w:t>
      </w:r>
    </w:p>
    <w:p w14:paraId="1DCAAE42" w14:textId="77777777" w:rsidR="007C7338" w:rsidRPr="007C7338" w:rsidRDefault="007C7338" w:rsidP="007C7338">
      <w:pPr>
        <w:pStyle w:val="NormalWeb"/>
        <w:spacing w:before="0" w:beforeAutospacing="0" w:after="0" w:afterAutospacing="0" w:line="480" w:lineRule="auto"/>
        <w:contextualSpacing/>
      </w:pPr>
      <w:r w:rsidRPr="007C7338">
        <w:t>$200 held with no interest</w:t>
      </w:r>
    </w:p>
    <w:p w14:paraId="44A19CCB" w14:textId="77777777" w:rsidR="007C7338" w:rsidRDefault="007C7338" w:rsidP="007C7338">
      <w:pPr>
        <w:pStyle w:val="NormalWeb"/>
        <w:spacing w:before="0" w:beforeAutospacing="0" w:after="0" w:afterAutospacing="0" w:line="480" w:lineRule="auto"/>
        <w:contextualSpacing/>
      </w:pPr>
      <w:r w:rsidRPr="007C7338">
        <w:rPr>
          <w:b/>
          <w:bCs/>
        </w:rPr>
        <w:t>Calculation:</w:t>
      </w:r>
      <w:r w:rsidRPr="007C7338">
        <w:br/>
        <w:t>$100 × 1.03 = $103</w:t>
      </w:r>
      <w:r w:rsidRPr="007C7338">
        <w:br/>
        <w:t>$103 + $200 = $303</w:t>
      </w:r>
    </w:p>
    <w:p w14:paraId="27AE71C9" w14:textId="2ED536BC" w:rsidR="007C7338" w:rsidRDefault="007C7338" w:rsidP="007C7338">
      <w:pPr>
        <w:pStyle w:val="NormalWeb"/>
        <w:spacing w:before="0" w:beforeAutospacing="0" w:after="0" w:afterAutospacing="0" w:line="480" w:lineRule="auto"/>
        <w:contextualSpacing/>
      </w:pPr>
      <w:r w:rsidRPr="007C7338">
        <w:rPr>
          <w:b/>
          <w:bCs/>
        </w:rPr>
        <w:lastRenderedPageBreak/>
        <w:t>Final Answer:</w:t>
      </w:r>
      <w:r w:rsidRPr="007C7338">
        <w:br/>
        <w:t>$303</w:t>
      </w:r>
    </w:p>
    <w:p w14:paraId="7D14BA11" w14:textId="77777777" w:rsidR="007C7338" w:rsidRDefault="007C7338" w:rsidP="007C7338">
      <w:pPr>
        <w:pStyle w:val="NormalWeb"/>
        <w:spacing w:before="0" w:beforeAutospacing="0" w:after="0" w:afterAutospacing="0" w:line="480" w:lineRule="auto"/>
        <w:contextualSpacing/>
      </w:pPr>
    </w:p>
    <w:p w14:paraId="17E8EC39" w14:textId="77777777" w:rsidR="00E50D51" w:rsidRPr="00E50D51" w:rsidRDefault="00E50D51" w:rsidP="00E50D51">
      <w:pPr>
        <w:pStyle w:val="ListParagraph"/>
        <w:numPr>
          <w:ilvl w:val="0"/>
          <w:numId w:val="1"/>
        </w:numPr>
        <w:spacing w:after="0" w:line="480" w:lineRule="auto"/>
        <w:rPr>
          <w:rFonts w:ascii="Times New Roman" w:eastAsia="Times New Roman" w:hAnsi="Times New Roman" w:cs="Times New Roman"/>
          <w:kern w:val="0"/>
          <w14:ligatures w14:val="none"/>
        </w:rPr>
      </w:pPr>
      <w:r w:rsidRPr="00E50D51">
        <w:rPr>
          <w:rFonts w:ascii="Times New Roman" w:eastAsia="Times New Roman" w:hAnsi="Times New Roman" w:cs="Times New Roman"/>
          <w:b/>
          <w:bCs/>
          <w:kern w:val="0"/>
          <w14:ligatures w14:val="none"/>
        </w:rPr>
        <w:t>Contract Evaluation Using Present Value</w:t>
      </w:r>
    </w:p>
    <w:p w14:paraId="5DBB0EA3" w14:textId="77777777" w:rsidR="00E50D51" w:rsidRPr="00E50D51" w:rsidRDefault="00E50D51" w:rsidP="00E50D51">
      <w:pPr>
        <w:spacing w:after="0" w:line="480" w:lineRule="auto"/>
        <w:ind w:left="360"/>
        <w:rPr>
          <w:rFonts w:ascii="Times New Roman" w:eastAsia="Times New Roman" w:hAnsi="Times New Roman" w:cs="Times New Roman"/>
          <w:kern w:val="0"/>
          <w14:ligatures w14:val="none"/>
        </w:rPr>
      </w:pPr>
      <w:r w:rsidRPr="00E50D51">
        <w:rPr>
          <w:rFonts w:ascii="Times New Roman" w:eastAsia="Times New Roman" w:hAnsi="Times New Roman" w:cs="Times New Roman"/>
          <w:b/>
          <w:bCs/>
          <w:kern w:val="0"/>
          <w14:ligatures w14:val="none"/>
        </w:rPr>
        <w:t>Interest Rate:</w:t>
      </w:r>
      <w:r w:rsidRPr="00E50D51">
        <w:rPr>
          <w:rFonts w:ascii="Times New Roman" w:eastAsia="Times New Roman" w:hAnsi="Times New Roman" w:cs="Times New Roman"/>
          <w:kern w:val="0"/>
          <w14:ligatures w14:val="none"/>
        </w:rPr>
        <w:t xml:space="preserve"> 10%</w:t>
      </w:r>
    </w:p>
    <w:p w14:paraId="6C2D6B70" w14:textId="77777777" w:rsidR="00E50D51" w:rsidRPr="00E50D51" w:rsidRDefault="00E50D51" w:rsidP="00E50D51">
      <w:pPr>
        <w:spacing w:after="0" w:line="480" w:lineRule="auto"/>
        <w:outlineLvl w:val="2"/>
        <w:rPr>
          <w:rFonts w:ascii="Times New Roman" w:eastAsia="Times New Roman" w:hAnsi="Times New Roman" w:cs="Times New Roman"/>
          <w:b/>
          <w:bCs/>
          <w:kern w:val="0"/>
          <w:sz w:val="27"/>
          <w:szCs w:val="27"/>
          <w14:ligatures w14:val="none"/>
        </w:rPr>
      </w:pPr>
      <w:r w:rsidRPr="00E50D51">
        <w:rPr>
          <w:rFonts w:ascii="Times New Roman" w:eastAsia="Times New Roman" w:hAnsi="Times New Roman" w:cs="Times New Roman"/>
          <w:b/>
          <w:bCs/>
          <w:kern w:val="0"/>
          <w:sz w:val="27"/>
          <w:szCs w:val="27"/>
          <w14:ligatures w14:val="none"/>
        </w:rPr>
        <w:t>Offer 1</w:t>
      </w:r>
    </w:p>
    <w:p w14:paraId="257F9AEE" w14:textId="77777777" w:rsidR="00E50D51" w:rsidRPr="00E50D51" w:rsidRDefault="00E50D51" w:rsidP="00E50D51">
      <w:pPr>
        <w:spacing w:after="0" w:line="480" w:lineRule="auto"/>
        <w:rPr>
          <w:rFonts w:ascii="Times New Roman" w:eastAsia="Times New Roman" w:hAnsi="Times New Roman" w:cs="Times New Roman"/>
          <w:kern w:val="0"/>
          <w14:ligatures w14:val="none"/>
        </w:rPr>
      </w:pPr>
      <w:r w:rsidRPr="00E50D51">
        <w:rPr>
          <w:rFonts w:ascii="Times New Roman" w:eastAsia="Times New Roman" w:hAnsi="Times New Roman" w:cs="Times New Roman"/>
          <w:kern w:val="0"/>
          <w14:ligatures w14:val="none"/>
        </w:rPr>
        <w:t>$4 million per year for 5 years</w:t>
      </w:r>
    </w:p>
    <w:p w14:paraId="2B675DE0" w14:textId="77777777" w:rsidR="00E50D51" w:rsidRPr="00E50D51" w:rsidRDefault="00E50D51" w:rsidP="00E50D51">
      <w:pPr>
        <w:spacing w:after="0" w:line="480" w:lineRule="auto"/>
        <w:rPr>
          <w:rFonts w:ascii="Times New Roman" w:eastAsia="Times New Roman" w:hAnsi="Times New Roman" w:cs="Times New Roman"/>
          <w:kern w:val="0"/>
          <w14:ligatures w14:val="none"/>
        </w:rPr>
      </w:pPr>
      <w:r w:rsidRPr="00E50D51">
        <w:rPr>
          <w:rFonts w:ascii="Times New Roman" w:eastAsia="Times New Roman" w:hAnsi="Times New Roman" w:cs="Times New Roman"/>
          <w:b/>
          <w:bCs/>
          <w:kern w:val="0"/>
          <w14:ligatures w14:val="none"/>
        </w:rPr>
        <w:t>PV Annuity Factor (10%, 5 years):</w:t>
      </w:r>
      <w:r w:rsidRPr="00E50D51">
        <w:rPr>
          <w:rFonts w:ascii="Times New Roman" w:eastAsia="Times New Roman" w:hAnsi="Times New Roman" w:cs="Times New Roman"/>
          <w:kern w:val="0"/>
          <w14:ligatures w14:val="none"/>
        </w:rPr>
        <w:t xml:space="preserve"> 3.791</w:t>
      </w:r>
    </w:p>
    <w:p w14:paraId="378923CE" w14:textId="77777777" w:rsidR="00E50D51" w:rsidRPr="00E50D51" w:rsidRDefault="00E50D51" w:rsidP="00E50D51">
      <w:pPr>
        <w:spacing w:after="0" w:line="480" w:lineRule="auto"/>
        <w:rPr>
          <w:rFonts w:ascii="Times New Roman" w:eastAsia="Times New Roman" w:hAnsi="Times New Roman" w:cs="Times New Roman"/>
          <w:kern w:val="0"/>
          <w14:ligatures w14:val="none"/>
        </w:rPr>
      </w:pPr>
      <w:r w:rsidRPr="00E50D51">
        <w:rPr>
          <w:rFonts w:ascii="Times New Roman" w:eastAsia="Times New Roman" w:hAnsi="Times New Roman" w:cs="Times New Roman"/>
          <w:kern w:val="0"/>
          <w14:ligatures w14:val="none"/>
        </w:rPr>
        <w:t>$4,000,000 × 3.791 = $15,163,148</w:t>
      </w:r>
    </w:p>
    <w:p w14:paraId="232F6FFA" w14:textId="77777777" w:rsidR="00E50D51" w:rsidRPr="00E50D51" w:rsidRDefault="00E50D51" w:rsidP="00E50D51">
      <w:pPr>
        <w:spacing w:after="0" w:line="480" w:lineRule="auto"/>
        <w:outlineLvl w:val="2"/>
        <w:rPr>
          <w:rFonts w:ascii="Times New Roman" w:eastAsia="Times New Roman" w:hAnsi="Times New Roman" w:cs="Times New Roman"/>
          <w:b/>
          <w:bCs/>
          <w:kern w:val="0"/>
          <w:sz w:val="27"/>
          <w:szCs w:val="27"/>
          <w14:ligatures w14:val="none"/>
        </w:rPr>
      </w:pPr>
      <w:r w:rsidRPr="00E50D51">
        <w:rPr>
          <w:rFonts w:ascii="Times New Roman" w:eastAsia="Times New Roman" w:hAnsi="Times New Roman" w:cs="Times New Roman"/>
          <w:b/>
          <w:bCs/>
          <w:kern w:val="0"/>
          <w:sz w:val="27"/>
          <w:szCs w:val="27"/>
          <w14:ligatures w14:val="none"/>
        </w:rPr>
        <w:t>Offer 2</w:t>
      </w:r>
    </w:p>
    <w:p w14:paraId="6DE79100" w14:textId="77777777" w:rsidR="00E50D51" w:rsidRPr="00E50D51" w:rsidRDefault="00E50D51" w:rsidP="00E50D51">
      <w:pPr>
        <w:spacing w:after="0" w:line="480" w:lineRule="auto"/>
        <w:rPr>
          <w:rFonts w:ascii="Times New Roman" w:eastAsia="Times New Roman" w:hAnsi="Times New Roman" w:cs="Times New Roman"/>
          <w:kern w:val="0"/>
          <w14:ligatures w14:val="none"/>
        </w:rPr>
      </w:pPr>
      <w:r w:rsidRPr="00E50D51">
        <w:rPr>
          <w:rFonts w:ascii="Times New Roman" w:eastAsia="Times New Roman" w:hAnsi="Times New Roman" w:cs="Times New Roman"/>
          <w:kern w:val="0"/>
          <w14:ligatures w14:val="none"/>
        </w:rPr>
        <w:t>$8 million today + $2 million per year for 5 years</w:t>
      </w:r>
    </w:p>
    <w:p w14:paraId="67B29C44" w14:textId="77777777" w:rsidR="00E50D51" w:rsidRPr="00E50D51" w:rsidRDefault="00E50D51" w:rsidP="00E50D51">
      <w:pPr>
        <w:spacing w:after="0" w:line="480" w:lineRule="auto"/>
        <w:rPr>
          <w:rFonts w:ascii="Times New Roman" w:eastAsia="Times New Roman" w:hAnsi="Times New Roman" w:cs="Times New Roman"/>
          <w:kern w:val="0"/>
          <w14:ligatures w14:val="none"/>
        </w:rPr>
      </w:pPr>
      <w:r w:rsidRPr="00E50D51">
        <w:rPr>
          <w:rFonts w:ascii="Times New Roman" w:eastAsia="Times New Roman" w:hAnsi="Times New Roman" w:cs="Times New Roman"/>
          <w:kern w:val="0"/>
          <w14:ligatures w14:val="none"/>
        </w:rPr>
        <w:t>$2,000,000 × 3.791 = $7,582,000</w:t>
      </w:r>
      <w:r w:rsidRPr="00E50D51">
        <w:rPr>
          <w:rFonts w:ascii="Times New Roman" w:eastAsia="Times New Roman" w:hAnsi="Times New Roman" w:cs="Times New Roman"/>
          <w:kern w:val="0"/>
          <w14:ligatures w14:val="none"/>
        </w:rPr>
        <w:br/>
        <w:t>$7,582,000 + $8,000,000 = $15,582,000</w:t>
      </w:r>
    </w:p>
    <w:p w14:paraId="4A21D2DD" w14:textId="77777777" w:rsidR="00E50D51" w:rsidRPr="00E50D51" w:rsidRDefault="00E50D51" w:rsidP="00E50D51">
      <w:pPr>
        <w:spacing w:after="0" w:line="480" w:lineRule="auto"/>
        <w:outlineLvl w:val="2"/>
        <w:rPr>
          <w:rFonts w:ascii="Times New Roman" w:eastAsia="Times New Roman" w:hAnsi="Times New Roman" w:cs="Times New Roman"/>
          <w:b/>
          <w:bCs/>
          <w:kern w:val="0"/>
          <w:sz w:val="27"/>
          <w:szCs w:val="27"/>
          <w14:ligatures w14:val="none"/>
        </w:rPr>
      </w:pPr>
      <w:r w:rsidRPr="00E50D51">
        <w:rPr>
          <w:rFonts w:ascii="Times New Roman" w:eastAsia="Times New Roman" w:hAnsi="Times New Roman" w:cs="Times New Roman"/>
          <w:b/>
          <w:bCs/>
          <w:kern w:val="0"/>
          <w:sz w:val="27"/>
          <w:szCs w:val="27"/>
          <w14:ligatures w14:val="none"/>
        </w:rPr>
        <w:t>Decision</w:t>
      </w:r>
    </w:p>
    <w:p w14:paraId="0EA35349" w14:textId="77777777" w:rsidR="00E50D51" w:rsidRDefault="00E50D51" w:rsidP="00E50D51">
      <w:pPr>
        <w:spacing w:after="0" w:line="480" w:lineRule="auto"/>
        <w:rPr>
          <w:rFonts w:ascii="Times New Roman" w:eastAsia="Times New Roman" w:hAnsi="Times New Roman" w:cs="Times New Roman"/>
          <w:kern w:val="0"/>
          <w14:ligatures w14:val="none"/>
        </w:rPr>
      </w:pPr>
      <w:r w:rsidRPr="00E50D51">
        <w:rPr>
          <w:rFonts w:ascii="Times New Roman" w:eastAsia="Times New Roman" w:hAnsi="Times New Roman" w:cs="Times New Roman"/>
          <w:kern w:val="0"/>
          <w14:ligatures w14:val="none"/>
        </w:rPr>
        <w:t>Offer 2 is better, because its present value is higher.</w:t>
      </w:r>
    </w:p>
    <w:p w14:paraId="48A3F422" w14:textId="77777777" w:rsidR="00E50D51" w:rsidRDefault="00E50D51" w:rsidP="00E50D51">
      <w:pPr>
        <w:spacing w:after="0" w:line="480" w:lineRule="auto"/>
        <w:rPr>
          <w:rFonts w:ascii="Times New Roman" w:eastAsia="Times New Roman" w:hAnsi="Times New Roman" w:cs="Times New Roman"/>
          <w:kern w:val="0"/>
          <w14:ligatures w14:val="none"/>
        </w:rPr>
      </w:pPr>
    </w:p>
    <w:p w14:paraId="4BDDF171" w14:textId="77777777" w:rsidR="005E344A" w:rsidRDefault="005E344A" w:rsidP="005E344A">
      <w:pPr>
        <w:pStyle w:val="NormalWeb"/>
        <w:numPr>
          <w:ilvl w:val="0"/>
          <w:numId w:val="1"/>
        </w:numPr>
      </w:pPr>
      <w:r>
        <w:rPr>
          <w:rStyle w:val="Strong"/>
          <w:rFonts w:eastAsiaTheme="majorEastAsia"/>
        </w:rPr>
        <w:t>What Is Capital Budgeting?</w:t>
      </w:r>
    </w:p>
    <w:p w14:paraId="42A1FD75" w14:textId="77777777" w:rsidR="00BF00FD" w:rsidRDefault="00BF00FD" w:rsidP="00BF00FD">
      <w:pPr>
        <w:pStyle w:val="NormalWeb"/>
        <w:spacing w:line="480" w:lineRule="auto"/>
        <w:ind w:left="720" w:firstLine="720"/>
      </w:pPr>
      <w:r>
        <w:t xml:space="preserve">Capital budgeting is the process used by businesses to evaluate long-term investment opportunities and determine whether a project should be undertaken. This process involves estimating future cash flows, assessing risk, and comparing expected returns against the cost of the investment. In the entertainment industry, capital budgeting is especially important because projects such as films, tours, albums, or Broadway shows require large upfront investments and carry significant financial risk. By using capital </w:t>
      </w:r>
      <w:r>
        <w:lastRenderedPageBreak/>
        <w:t>budgeting tools such as present value analysis, companies and investors can make informed decisions that maximize long-term value (Block, Hirt, &amp; Danielsen, 2019; Ross, Westerfield, &amp; Jordan, 2022).</w:t>
      </w:r>
    </w:p>
    <w:p w14:paraId="67F1AD88" w14:textId="60A0B281" w:rsidR="00673077" w:rsidRDefault="00673077" w:rsidP="00FD1AEA">
      <w:pPr>
        <w:pStyle w:val="NormalWeb"/>
        <w:numPr>
          <w:ilvl w:val="0"/>
          <w:numId w:val="1"/>
        </w:numPr>
        <w:spacing w:line="480" w:lineRule="auto"/>
      </w:pPr>
      <w:r>
        <w:rPr>
          <w:rStyle w:val="Strong"/>
          <w:rFonts w:eastAsiaTheme="majorEastAsia"/>
        </w:rPr>
        <w:t>Disadvantages of the Payback Method</w:t>
      </w:r>
    </w:p>
    <w:p w14:paraId="21F75635" w14:textId="77777777" w:rsidR="00177B0B" w:rsidRDefault="00177B0B" w:rsidP="00FD1AEA">
      <w:pPr>
        <w:pStyle w:val="NormalWeb"/>
        <w:spacing w:before="0" w:beforeAutospacing="0" w:after="0" w:afterAutospacing="0" w:line="480" w:lineRule="auto"/>
        <w:ind w:firstLine="360"/>
        <w:contextualSpacing/>
      </w:pPr>
      <w:r>
        <w:t>One major disadvantage of the payback method is that it ignores the time value of money, treating all cash flows as equally valuable regardless of when they occur. This can result in misleading conclusions when comparing projects with different timing of returns. Additionally, the payback method does not consider cash flows that occur after the payback period, meaning profitable long-term projects may be rejected simply because they take longer to recover the initial investment. Because of these limitations, the payback method is best used only as a supplementary tool rather than a primary decision-making method (Brealey, Myers, &amp; Allen, 2020; Block et al., 2019).</w:t>
      </w:r>
    </w:p>
    <w:p w14:paraId="721B4CD1" w14:textId="77777777" w:rsidR="00177B0B" w:rsidRDefault="00177B0B" w:rsidP="00177B0B">
      <w:pPr>
        <w:pStyle w:val="NormalWeb"/>
        <w:ind w:left="720"/>
      </w:pPr>
    </w:p>
    <w:p w14:paraId="2B2A157F" w14:textId="3F14A100" w:rsidR="00852F7E" w:rsidRDefault="00852F7E" w:rsidP="00FD1AEA">
      <w:pPr>
        <w:pStyle w:val="NormalWeb"/>
        <w:numPr>
          <w:ilvl w:val="0"/>
          <w:numId w:val="1"/>
        </w:numPr>
      </w:pPr>
      <w:r>
        <w:rPr>
          <w:rStyle w:val="Strong"/>
          <w:rFonts w:eastAsiaTheme="majorEastAsia"/>
        </w:rPr>
        <w:t>Net Present Value Rule</w:t>
      </w:r>
    </w:p>
    <w:p w14:paraId="57DB8606" w14:textId="0CAB8BA7" w:rsidR="000B38E9" w:rsidRDefault="00BA226F" w:rsidP="000B38E9">
      <w:pPr>
        <w:pStyle w:val="NormalWeb"/>
        <w:spacing w:before="0" w:beforeAutospacing="0" w:after="0" w:afterAutospacing="0" w:line="480" w:lineRule="auto"/>
        <w:ind w:left="360" w:firstLine="360"/>
        <w:contextualSpacing/>
      </w:pPr>
      <w:r>
        <w:t>The Net Present Value (NPV) rule states that a project should be accepted if its NPV is greater than zero. A positive NPV indicates that the project is expected to generate returns that exceed the required rate of return after accounting for the time value of money. If the NPV is negative, the project should be rejected because it would decrease overall value for investors. The NPV method is widely regarded as the most reliable capital budgeting technique because it directly measures how much value a project adds to a firm (Block et al., 2019; Ross et al., 2022).</w:t>
      </w:r>
    </w:p>
    <w:p w14:paraId="6EC6B2A9" w14:textId="77777777" w:rsidR="00B62E29" w:rsidRPr="00B62E29" w:rsidRDefault="00B62E29" w:rsidP="00B62E29">
      <w:pPr>
        <w:pStyle w:val="ListParagraph"/>
        <w:numPr>
          <w:ilvl w:val="0"/>
          <w:numId w:val="1"/>
        </w:numPr>
        <w:spacing w:after="0" w:line="480" w:lineRule="auto"/>
        <w:rPr>
          <w:rFonts w:ascii="Times New Roman" w:eastAsia="Times New Roman" w:hAnsi="Times New Roman" w:cs="Times New Roman"/>
          <w:kern w:val="0"/>
          <w14:ligatures w14:val="none"/>
        </w:rPr>
      </w:pPr>
      <w:r w:rsidRPr="00B62E29">
        <w:rPr>
          <w:rFonts w:ascii="Times New Roman" w:eastAsia="Times New Roman" w:hAnsi="Times New Roman" w:cs="Times New Roman"/>
          <w:b/>
          <w:bCs/>
          <w:kern w:val="0"/>
          <w14:ligatures w14:val="none"/>
        </w:rPr>
        <w:t>Net Present Value of a Broadway Show</w:t>
      </w:r>
    </w:p>
    <w:p w14:paraId="57C0E266" w14:textId="639B2EF5" w:rsidR="00B62E29" w:rsidRPr="00B62E29" w:rsidRDefault="00B62E29" w:rsidP="00B62E29">
      <w:pPr>
        <w:pStyle w:val="ListParagraph"/>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I</w:t>
      </w:r>
      <w:r w:rsidRPr="00B62E29">
        <w:rPr>
          <w:rFonts w:ascii="Times New Roman" w:eastAsia="Times New Roman" w:hAnsi="Times New Roman" w:cs="Times New Roman"/>
          <w:b/>
          <w:bCs/>
          <w:kern w:val="0"/>
          <w14:ligatures w14:val="none"/>
        </w:rPr>
        <w:t>nitial Cost:</w:t>
      </w:r>
      <w:r w:rsidRPr="00B62E29">
        <w:rPr>
          <w:rFonts w:ascii="Times New Roman" w:eastAsia="Times New Roman" w:hAnsi="Times New Roman" w:cs="Times New Roman"/>
          <w:kern w:val="0"/>
          <w14:ligatures w14:val="none"/>
        </w:rPr>
        <w:t xml:space="preserve"> $17,000,000</w:t>
      </w:r>
      <w:r w:rsidRPr="00B62E29">
        <w:rPr>
          <w:rFonts w:ascii="Times New Roman" w:eastAsia="Times New Roman" w:hAnsi="Times New Roman" w:cs="Times New Roman"/>
          <w:kern w:val="0"/>
          <w14:ligatures w14:val="none"/>
        </w:rPr>
        <w:br/>
      </w:r>
      <w:r w:rsidRPr="00B62E29">
        <w:rPr>
          <w:rFonts w:ascii="Times New Roman" w:eastAsia="Times New Roman" w:hAnsi="Times New Roman" w:cs="Times New Roman"/>
          <w:b/>
          <w:bCs/>
          <w:kern w:val="0"/>
          <w14:ligatures w14:val="none"/>
        </w:rPr>
        <w:t>Annual Cash Inflow:</w:t>
      </w:r>
      <w:r w:rsidRPr="00B62E29">
        <w:rPr>
          <w:rFonts w:ascii="Times New Roman" w:eastAsia="Times New Roman" w:hAnsi="Times New Roman" w:cs="Times New Roman"/>
          <w:kern w:val="0"/>
          <w14:ligatures w14:val="none"/>
        </w:rPr>
        <w:t xml:space="preserve"> $5,000,000 for 4 years</w:t>
      </w:r>
      <w:r w:rsidRPr="00B62E29">
        <w:rPr>
          <w:rFonts w:ascii="Times New Roman" w:eastAsia="Times New Roman" w:hAnsi="Times New Roman" w:cs="Times New Roman"/>
          <w:kern w:val="0"/>
          <w14:ligatures w14:val="none"/>
        </w:rPr>
        <w:br/>
      </w:r>
      <w:r w:rsidRPr="00B62E29">
        <w:rPr>
          <w:rFonts w:ascii="Times New Roman" w:eastAsia="Times New Roman" w:hAnsi="Times New Roman" w:cs="Times New Roman"/>
          <w:b/>
          <w:bCs/>
          <w:kern w:val="0"/>
          <w14:ligatures w14:val="none"/>
        </w:rPr>
        <w:t>Discount Rate:</w:t>
      </w:r>
      <w:r w:rsidRPr="00B62E29">
        <w:rPr>
          <w:rFonts w:ascii="Times New Roman" w:eastAsia="Times New Roman" w:hAnsi="Times New Roman" w:cs="Times New Roman"/>
          <w:kern w:val="0"/>
          <w14:ligatures w14:val="none"/>
        </w:rPr>
        <w:t xml:space="preserve"> 7%</w:t>
      </w:r>
    </w:p>
    <w:p w14:paraId="1DBA3734" w14:textId="77777777" w:rsidR="00B62E29" w:rsidRPr="00B62E29" w:rsidRDefault="00B62E29" w:rsidP="00B62E29">
      <w:pPr>
        <w:spacing w:after="0" w:line="480" w:lineRule="auto"/>
        <w:ind w:left="360"/>
        <w:rPr>
          <w:rFonts w:ascii="Times New Roman" w:eastAsia="Times New Roman" w:hAnsi="Times New Roman" w:cs="Times New Roman"/>
          <w:kern w:val="0"/>
          <w14:ligatures w14:val="none"/>
        </w:rPr>
      </w:pPr>
      <w:r w:rsidRPr="00B62E29">
        <w:rPr>
          <w:rFonts w:ascii="Times New Roman" w:eastAsia="Times New Roman" w:hAnsi="Times New Roman" w:cs="Times New Roman"/>
          <w:b/>
          <w:bCs/>
          <w:kern w:val="0"/>
          <w14:ligatures w14:val="none"/>
        </w:rPr>
        <w:t>PV Annuity Factor (7%, 4 years):</w:t>
      </w:r>
      <w:r w:rsidRPr="00B62E29">
        <w:rPr>
          <w:rFonts w:ascii="Times New Roman" w:eastAsia="Times New Roman" w:hAnsi="Times New Roman" w:cs="Times New Roman"/>
          <w:kern w:val="0"/>
          <w14:ligatures w14:val="none"/>
        </w:rPr>
        <w:t xml:space="preserve"> 3.387</w:t>
      </w:r>
    </w:p>
    <w:p w14:paraId="0BE478B2" w14:textId="77777777" w:rsidR="00B62E29" w:rsidRPr="00B62E29" w:rsidRDefault="00B62E29" w:rsidP="00B62E29">
      <w:pPr>
        <w:spacing w:after="0" w:line="480" w:lineRule="auto"/>
        <w:ind w:left="360"/>
        <w:rPr>
          <w:rFonts w:ascii="Times New Roman" w:eastAsia="Times New Roman" w:hAnsi="Times New Roman" w:cs="Times New Roman"/>
          <w:kern w:val="0"/>
          <w14:ligatures w14:val="none"/>
        </w:rPr>
      </w:pPr>
      <w:r w:rsidRPr="00B62E29">
        <w:rPr>
          <w:rFonts w:ascii="Times New Roman" w:eastAsia="Times New Roman" w:hAnsi="Times New Roman" w:cs="Times New Roman"/>
          <w:kern w:val="0"/>
          <w14:ligatures w14:val="none"/>
        </w:rPr>
        <w:t>$5,000,000 × 3.387 = $16,936,000</w:t>
      </w:r>
    </w:p>
    <w:p w14:paraId="56F6FDFC" w14:textId="77777777" w:rsidR="00B62E29" w:rsidRPr="00B62E29" w:rsidRDefault="00B62E29" w:rsidP="00B62E29">
      <w:pPr>
        <w:spacing w:after="0" w:line="480" w:lineRule="auto"/>
        <w:ind w:left="360"/>
        <w:rPr>
          <w:rFonts w:ascii="Times New Roman" w:eastAsia="Times New Roman" w:hAnsi="Times New Roman" w:cs="Times New Roman"/>
          <w:kern w:val="0"/>
          <w14:ligatures w14:val="none"/>
        </w:rPr>
      </w:pPr>
      <w:r w:rsidRPr="00B62E29">
        <w:rPr>
          <w:rFonts w:ascii="Times New Roman" w:eastAsia="Times New Roman" w:hAnsi="Times New Roman" w:cs="Times New Roman"/>
          <w:b/>
          <w:bCs/>
          <w:kern w:val="0"/>
          <w14:ligatures w14:val="none"/>
        </w:rPr>
        <w:t>NPV Calculation:</w:t>
      </w:r>
      <w:r w:rsidRPr="00B62E29">
        <w:rPr>
          <w:rFonts w:ascii="Times New Roman" w:eastAsia="Times New Roman" w:hAnsi="Times New Roman" w:cs="Times New Roman"/>
          <w:kern w:val="0"/>
          <w14:ligatures w14:val="none"/>
        </w:rPr>
        <w:br/>
        <w:t xml:space="preserve">$16,936,000 − $17,000,000 = </w:t>
      </w:r>
      <w:r w:rsidRPr="00B62E29">
        <w:rPr>
          <w:rFonts w:ascii="Times New Roman" w:eastAsia="Times New Roman" w:hAnsi="Times New Roman" w:cs="Times New Roman"/>
          <w:b/>
          <w:bCs/>
          <w:kern w:val="0"/>
          <w14:ligatures w14:val="none"/>
        </w:rPr>
        <w:t>–$63,944</w:t>
      </w:r>
    </w:p>
    <w:p w14:paraId="5C7A84A9" w14:textId="77777777" w:rsidR="00B62E29" w:rsidRPr="00B62E29" w:rsidRDefault="00B62E29" w:rsidP="00B62E29">
      <w:pPr>
        <w:spacing w:after="0" w:line="480" w:lineRule="auto"/>
        <w:outlineLvl w:val="2"/>
        <w:rPr>
          <w:rFonts w:ascii="Times New Roman" w:eastAsia="Times New Roman" w:hAnsi="Times New Roman" w:cs="Times New Roman"/>
          <w:b/>
          <w:bCs/>
          <w:kern w:val="0"/>
          <w:sz w:val="27"/>
          <w:szCs w:val="27"/>
          <w14:ligatures w14:val="none"/>
        </w:rPr>
      </w:pPr>
      <w:r w:rsidRPr="00B62E29">
        <w:rPr>
          <w:rFonts w:ascii="Times New Roman" w:eastAsia="Times New Roman" w:hAnsi="Times New Roman" w:cs="Times New Roman"/>
          <w:b/>
          <w:bCs/>
          <w:kern w:val="0"/>
          <w:sz w:val="27"/>
          <w:szCs w:val="27"/>
          <w14:ligatures w14:val="none"/>
        </w:rPr>
        <w:t>Decision</w:t>
      </w:r>
    </w:p>
    <w:p w14:paraId="6340389C" w14:textId="77777777" w:rsidR="00B62E29" w:rsidRDefault="00B62E29" w:rsidP="00B62E29">
      <w:pPr>
        <w:spacing w:after="0" w:line="480" w:lineRule="auto"/>
        <w:ind w:left="360"/>
        <w:rPr>
          <w:rFonts w:ascii="Times New Roman" w:eastAsia="Times New Roman" w:hAnsi="Times New Roman" w:cs="Times New Roman"/>
          <w:kern w:val="0"/>
          <w14:ligatures w14:val="none"/>
        </w:rPr>
      </w:pPr>
      <w:r w:rsidRPr="00B62E29">
        <w:rPr>
          <w:rFonts w:ascii="Times New Roman" w:eastAsia="Times New Roman" w:hAnsi="Times New Roman" w:cs="Times New Roman"/>
          <w:kern w:val="0"/>
          <w14:ligatures w14:val="none"/>
        </w:rPr>
        <w:t xml:space="preserve">The NPV is negative, so the investors </w:t>
      </w:r>
      <w:r w:rsidRPr="00B91E1F">
        <w:rPr>
          <w:rFonts w:ascii="Times New Roman" w:eastAsia="Times New Roman" w:hAnsi="Times New Roman" w:cs="Times New Roman"/>
          <w:kern w:val="0"/>
          <w14:ligatures w14:val="none"/>
        </w:rPr>
        <w:t>should not invest</w:t>
      </w:r>
      <w:r w:rsidRPr="00B62E29">
        <w:rPr>
          <w:rFonts w:ascii="Times New Roman" w:eastAsia="Times New Roman" w:hAnsi="Times New Roman" w:cs="Times New Roman"/>
          <w:kern w:val="0"/>
          <w14:ligatures w14:val="none"/>
        </w:rPr>
        <w:t xml:space="preserve"> in this Broadway show. The expected returns do not fully compensate for the opportunity cost of capital, meaning investors would be better off earning 7% elsewhere.</w:t>
      </w:r>
    </w:p>
    <w:p w14:paraId="19D8D22C" w14:textId="77777777" w:rsidR="00B91E1F" w:rsidRDefault="00B91E1F" w:rsidP="00B62E29">
      <w:pPr>
        <w:spacing w:after="0" w:line="480" w:lineRule="auto"/>
        <w:ind w:left="360"/>
        <w:rPr>
          <w:rFonts w:ascii="Times New Roman" w:eastAsia="Times New Roman" w:hAnsi="Times New Roman" w:cs="Times New Roman"/>
          <w:kern w:val="0"/>
          <w14:ligatures w14:val="none"/>
        </w:rPr>
      </w:pPr>
    </w:p>
    <w:p w14:paraId="59FFA7BF" w14:textId="77777777" w:rsidR="00B91E1F" w:rsidRDefault="00B91E1F" w:rsidP="00B62E29">
      <w:pPr>
        <w:spacing w:after="0" w:line="480" w:lineRule="auto"/>
        <w:ind w:left="360"/>
        <w:rPr>
          <w:rFonts w:ascii="Times New Roman" w:eastAsia="Times New Roman" w:hAnsi="Times New Roman" w:cs="Times New Roman"/>
          <w:kern w:val="0"/>
          <w14:ligatures w14:val="none"/>
        </w:rPr>
      </w:pPr>
    </w:p>
    <w:p w14:paraId="22F64D2D" w14:textId="77777777" w:rsidR="00B91E1F" w:rsidRDefault="00B91E1F" w:rsidP="00B62E29">
      <w:pPr>
        <w:spacing w:after="0" w:line="480" w:lineRule="auto"/>
        <w:ind w:left="360"/>
        <w:rPr>
          <w:rFonts w:ascii="Times New Roman" w:eastAsia="Times New Roman" w:hAnsi="Times New Roman" w:cs="Times New Roman"/>
          <w:kern w:val="0"/>
          <w14:ligatures w14:val="none"/>
        </w:rPr>
      </w:pPr>
    </w:p>
    <w:p w14:paraId="11776FBE" w14:textId="77777777" w:rsidR="00B91E1F" w:rsidRDefault="00B91E1F" w:rsidP="00B62E29">
      <w:pPr>
        <w:spacing w:after="0" w:line="480" w:lineRule="auto"/>
        <w:ind w:left="360"/>
        <w:rPr>
          <w:rFonts w:ascii="Times New Roman" w:eastAsia="Times New Roman" w:hAnsi="Times New Roman" w:cs="Times New Roman"/>
          <w:kern w:val="0"/>
          <w14:ligatures w14:val="none"/>
        </w:rPr>
      </w:pPr>
    </w:p>
    <w:p w14:paraId="496A6DC7" w14:textId="77777777" w:rsidR="00B91E1F" w:rsidRDefault="00B91E1F" w:rsidP="00B62E29">
      <w:pPr>
        <w:spacing w:after="0" w:line="480" w:lineRule="auto"/>
        <w:ind w:left="360"/>
        <w:rPr>
          <w:rFonts w:ascii="Times New Roman" w:eastAsia="Times New Roman" w:hAnsi="Times New Roman" w:cs="Times New Roman"/>
          <w:kern w:val="0"/>
          <w14:ligatures w14:val="none"/>
        </w:rPr>
      </w:pPr>
    </w:p>
    <w:p w14:paraId="57F80879" w14:textId="77777777" w:rsidR="00B91E1F" w:rsidRDefault="00B91E1F" w:rsidP="00B62E29">
      <w:pPr>
        <w:spacing w:after="0" w:line="480" w:lineRule="auto"/>
        <w:ind w:left="360"/>
        <w:rPr>
          <w:rFonts w:ascii="Times New Roman" w:eastAsia="Times New Roman" w:hAnsi="Times New Roman" w:cs="Times New Roman"/>
          <w:kern w:val="0"/>
          <w14:ligatures w14:val="none"/>
        </w:rPr>
      </w:pPr>
    </w:p>
    <w:p w14:paraId="3740902D" w14:textId="77777777" w:rsidR="00B91E1F" w:rsidRDefault="00B91E1F" w:rsidP="00B62E29">
      <w:pPr>
        <w:spacing w:after="0" w:line="480" w:lineRule="auto"/>
        <w:ind w:left="360"/>
        <w:rPr>
          <w:rFonts w:ascii="Times New Roman" w:eastAsia="Times New Roman" w:hAnsi="Times New Roman" w:cs="Times New Roman"/>
          <w:kern w:val="0"/>
          <w14:ligatures w14:val="none"/>
        </w:rPr>
      </w:pPr>
    </w:p>
    <w:p w14:paraId="56CBBF36" w14:textId="77777777" w:rsidR="00B91E1F" w:rsidRDefault="00B91E1F" w:rsidP="00B62E29">
      <w:pPr>
        <w:spacing w:after="0" w:line="480" w:lineRule="auto"/>
        <w:ind w:left="360"/>
        <w:rPr>
          <w:rFonts w:ascii="Times New Roman" w:eastAsia="Times New Roman" w:hAnsi="Times New Roman" w:cs="Times New Roman"/>
          <w:kern w:val="0"/>
          <w14:ligatures w14:val="none"/>
        </w:rPr>
      </w:pPr>
    </w:p>
    <w:p w14:paraId="21171732" w14:textId="77777777" w:rsidR="00B91E1F" w:rsidRDefault="00B91E1F" w:rsidP="00B62E29">
      <w:pPr>
        <w:spacing w:after="0" w:line="480" w:lineRule="auto"/>
        <w:ind w:left="360"/>
        <w:rPr>
          <w:rFonts w:ascii="Times New Roman" w:eastAsia="Times New Roman" w:hAnsi="Times New Roman" w:cs="Times New Roman"/>
          <w:kern w:val="0"/>
          <w14:ligatures w14:val="none"/>
        </w:rPr>
      </w:pPr>
    </w:p>
    <w:p w14:paraId="6E095838" w14:textId="77777777" w:rsidR="00B91E1F" w:rsidRDefault="00B91E1F" w:rsidP="00BA226F">
      <w:pPr>
        <w:spacing w:after="0" w:line="480" w:lineRule="auto"/>
        <w:rPr>
          <w:rFonts w:ascii="Times New Roman" w:eastAsia="Times New Roman" w:hAnsi="Times New Roman" w:cs="Times New Roman"/>
          <w:kern w:val="0"/>
          <w14:ligatures w14:val="none"/>
        </w:rPr>
      </w:pPr>
    </w:p>
    <w:p w14:paraId="5FBD7226" w14:textId="77777777" w:rsidR="00BA226F" w:rsidRDefault="00BA226F" w:rsidP="00BA226F">
      <w:pPr>
        <w:spacing w:after="0" w:line="480" w:lineRule="auto"/>
        <w:rPr>
          <w:rFonts w:ascii="Times New Roman" w:eastAsia="Times New Roman" w:hAnsi="Times New Roman" w:cs="Times New Roman"/>
          <w:kern w:val="0"/>
          <w14:ligatures w14:val="none"/>
        </w:rPr>
      </w:pPr>
    </w:p>
    <w:p w14:paraId="106FF5A1" w14:textId="77777777" w:rsidR="00B91E1F" w:rsidRDefault="00B91E1F" w:rsidP="00B91E1F">
      <w:pPr>
        <w:spacing w:after="0" w:line="480" w:lineRule="auto"/>
        <w:rPr>
          <w:rFonts w:ascii="Times New Roman" w:eastAsia="Times New Roman" w:hAnsi="Times New Roman" w:cs="Times New Roman"/>
          <w:kern w:val="0"/>
          <w14:ligatures w14:val="none"/>
        </w:rPr>
      </w:pPr>
    </w:p>
    <w:p w14:paraId="43DBDD74" w14:textId="69BAA319" w:rsidR="00B91E1F" w:rsidRDefault="00B91E1F" w:rsidP="00B91E1F">
      <w:pPr>
        <w:spacing w:after="0" w:line="48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References</w:t>
      </w:r>
    </w:p>
    <w:p w14:paraId="035716C7" w14:textId="0957F549" w:rsidR="00BA226F" w:rsidRDefault="00BA226F" w:rsidP="000C39E3">
      <w:pPr>
        <w:spacing w:after="0" w:line="480" w:lineRule="auto"/>
        <w:ind w:left="-1440" w:right="-90" w:firstLine="630"/>
        <w:jc w:val="center"/>
        <w:rPr>
          <w:rFonts w:ascii="Times New Roman" w:eastAsia="Times New Roman" w:hAnsi="Times New Roman" w:cs="Times New Roman"/>
          <w:kern w:val="0"/>
          <w14:ligatures w14:val="none"/>
        </w:rPr>
      </w:pPr>
      <w:r w:rsidRPr="00BA226F">
        <w:rPr>
          <w:rFonts w:ascii="Times New Roman" w:eastAsia="Times New Roman" w:hAnsi="Times New Roman" w:cs="Times New Roman"/>
          <w:kern w:val="0"/>
          <w14:ligatures w14:val="none"/>
        </w:rPr>
        <w:t xml:space="preserve">Block, S. B., Hirt, G. A., &amp; Danielsen, B. R. (2019). </w:t>
      </w:r>
      <w:r w:rsidRPr="00BA226F">
        <w:rPr>
          <w:rFonts w:ascii="Times New Roman" w:eastAsia="Times New Roman" w:hAnsi="Times New Roman" w:cs="Times New Roman"/>
          <w:i/>
          <w:iCs/>
          <w:kern w:val="0"/>
          <w14:ligatures w14:val="none"/>
        </w:rPr>
        <w:t>Foundations of financial management</w:t>
      </w:r>
      <w:r w:rsidRPr="00BA226F">
        <w:rPr>
          <w:rFonts w:ascii="Times New Roman" w:eastAsia="Times New Roman" w:hAnsi="Times New Roman" w:cs="Times New Roman"/>
          <w:kern w:val="0"/>
          <w14:ligatures w14:val="none"/>
        </w:rPr>
        <w:t xml:space="preserve"> (17</w:t>
      </w:r>
      <w:r w:rsidR="00D82E84">
        <w:rPr>
          <w:rFonts w:ascii="Times New Roman" w:eastAsia="Times New Roman" w:hAnsi="Times New Roman" w:cs="Times New Roman"/>
          <w:kern w:val="0"/>
          <w:vertAlign w:val="superscript"/>
          <w14:ligatures w14:val="none"/>
        </w:rPr>
        <w:t>th</w:t>
      </w:r>
      <w:r w:rsidR="000C39E3">
        <w:rPr>
          <w:rFonts w:ascii="Times New Roman" w:eastAsia="Times New Roman" w:hAnsi="Times New Roman" w:cs="Times New Roman"/>
          <w:kern w:val="0"/>
          <w:vertAlign w:val="superscript"/>
          <w14:ligatures w14:val="none"/>
        </w:rPr>
        <w:t xml:space="preserve"> </w:t>
      </w:r>
      <w:r w:rsidRPr="00BA226F">
        <w:rPr>
          <w:rFonts w:ascii="Times New Roman" w:eastAsia="Times New Roman" w:hAnsi="Times New Roman" w:cs="Times New Roman"/>
          <w:kern w:val="0"/>
          <w14:ligatures w14:val="none"/>
        </w:rPr>
        <w:t>ed.).</w:t>
      </w:r>
      <w:r w:rsidR="000C39E3">
        <w:rPr>
          <w:rFonts w:ascii="Times New Roman" w:eastAsia="Times New Roman" w:hAnsi="Times New Roman" w:cs="Times New Roman"/>
          <w:kern w:val="0"/>
          <w14:ligatures w14:val="none"/>
        </w:rPr>
        <w:t xml:space="preserve"> </w:t>
      </w:r>
      <w:r w:rsidRPr="00BA226F">
        <w:rPr>
          <w:rFonts w:ascii="Times New Roman" w:eastAsia="Times New Roman" w:hAnsi="Times New Roman" w:cs="Times New Roman"/>
          <w:kern w:val="0"/>
          <w14:ligatures w14:val="none"/>
        </w:rPr>
        <w:t>McGraw-Hill Education.</w:t>
      </w:r>
    </w:p>
    <w:p w14:paraId="1C8BA90B" w14:textId="77777777" w:rsidR="00716292" w:rsidRDefault="00716292" w:rsidP="00C263C8">
      <w:pPr>
        <w:autoSpaceDE w:val="0"/>
        <w:autoSpaceDN w:val="0"/>
        <w:adjustRightInd w:val="0"/>
        <w:spacing w:after="0" w:line="480" w:lineRule="auto"/>
        <w:ind w:left="720" w:hanging="720"/>
        <w:rPr>
          <w:rFonts w:ascii="Times-Roman" w:hAnsi="Times-Roman" w:cs="Times-Roman"/>
          <w:kern w:val="0"/>
        </w:rPr>
      </w:pPr>
      <w:r>
        <w:rPr>
          <w:rFonts w:ascii="Times-Roman" w:hAnsi="Times-Roman" w:cs="Times-Roman"/>
          <w:kern w:val="0"/>
        </w:rPr>
        <w:t xml:space="preserve">Brealey, R. A., Myers, S. C., &amp; Allen, F. (2020). </w:t>
      </w:r>
      <w:r>
        <w:rPr>
          <w:rFonts w:ascii="Times-Italic" w:hAnsi="Times-Italic" w:cs="Times-Italic"/>
          <w:i/>
          <w:iCs/>
          <w:kern w:val="0"/>
        </w:rPr>
        <w:t>Principles of corporate finance</w:t>
      </w:r>
      <w:r>
        <w:rPr>
          <w:rFonts w:ascii="Times-Roman" w:hAnsi="Times-Roman" w:cs="Times-Roman"/>
          <w:kern w:val="0"/>
        </w:rPr>
        <w:t xml:space="preserve"> (13th ed.). McGraw-Hill Education.</w:t>
      </w:r>
    </w:p>
    <w:p w14:paraId="34E0BC86" w14:textId="77777777" w:rsidR="00716292" w:rsidRDefault="00716292" w:rsidP="00716292">
      <w:pPr>
        <w:autoSpaceDE w:val="0"/>
        <w:autoSpaceDN w:val="0"/>
        <w:adjustRightInd w:val="0"/>
        <w:spacing w:after="0" w:line="480" w:lineRule="auto"/>
        <w:ind w:left="720" w:hanging="720"/>
        <w:rPr>
          <w:rFonts w:ascii="Times-Roman" w:hAnsi="Times-Roman" w:cs="Times-Roman"/>
          <w:kern w:val="0"/>
        </w:rPr>
      </w:pPr>
      <w:r>
        <w:rPr>
          <w:rFonts w:ascii="Times-Roman" w:hAnsi="Times-Roman" w:cs="Times-Roman"/>
          <w:kern w:val="0"/>
        </w:rPr>
        <w:t xml:space="preserve">Ross, S. A., Westerfield, R. W., &amp; Jordan, B. D. (2022). </w:t>
      </w:r>
      <w:r>
        <w:rPr>
          <w:rFonts w:ascii="Times-Italic" w:hAnsi="Times-Italic" w:cs="Times-Italic"/>
          <w:i/>
          <w:iCs/>
          <w:kern w:val="0"/>
        </w:rPr>
        <w:t>Fundamentals of corporate finance</w:t>
      </w:r>
      <w:r>
        <w:rPr>
          <w:rFonts w:ascii="Times-Roman" w:hAnsi="Times-Roman" w:cs="Times-Roman"/>
          <w:kern w:val="0"/>
        </w:rPr>
        <w:t xml:space="preserve"> (13th ed.). McGraw-Hill Education.</w:t>
      </w:r>
    </w:p>
    <w:p w14:paraId="561D8F10" w14:textId="77777777" w:rsidR="00B91E1F" w:rsidRPr="00B62E29" w:rsidRDefault="00B91E1F" w:rsidP="00716292">
      <w:pPr>
        <w:spacing w:after="0" w:line="480" w:lineRule="auto"/>
        <w:rPr>
          <w:rFonts w:ascii="Times New Roman" w:eastAsia="Times New Roman" w:hAnsi="Times New Roman" w:cs="Times New Roman"/>
          <w:kern w:val="0"/>
          <w14:ligatures w14:val="none"/>
        </w:rPr>
      </w:pPr>
    </w:p>
    <w:p w14:paraId="62D184E4" w14:textId="06EB85FF" w:rsidR="00B62E29" w:rsidRDefault="00B62E29" w:rsidP="00B62E29">
      <w:pPr>
        <w:pStyle w:val="NormalWeb"/>
        <w:spacing w:before="0" w:beforeAutospacing="0" w:after="0" w:afterAutospacing="0" w:line="480" w:lineRule="auto"/>
        <w:ind w:left="360"/>
        <w:contextualSpacing/>
      </w:pPr>
    </w:p>
    <w:p w14:paraId="20054235" w14:textId="7EEFD429" w:rsidR="00673077" w:rsidRDefault="00673077" w:rsidP="00852F7E">
      <w:pPr>
        <w:pStyle w:val="NormalWeb"/>
        <w:spacing w:before="0" w:beforeAutospacing="0" w:after="0" w:afterAutospacing="0" w:line="480" w:lineRule="auto"/>
        <w:ind w:left="360"/>
      </w:pPr>
    </w:p>
    <w:p w14:paraId="3D1FA87B" w14:textId="78428D94" w:rsidR="00673077" w:rsidRDefault="00673077" w:rsidP="00673077">
      <w:pPr>
        <w:pStyle w:val="NormalWeb"/>
        <w:spacing w:before="0" w:beforeAutospacing="0" w:after="0" w:afterAutospacing="0" w:line="480" w:lineRule="auto"/>
        <w:ind w:left="360"/>
      </w:pPr>
    </w:p>
    <w:p w14:paraId="39E24D4B" w14:textId="016C3995" w:rsidR="00E50D51" w:rsidRPr="005E344A" w:rsidRDefault="00E50D51" w:rsidP="005E344A">
      <w:pPr>
        <w:spacing w:after="0" w:line="480" w:lineRule="auto"/>
        <w:ind w:left="360"/>
        <w:rPr>
          <w:rFonts w:ascii="Times New Roman" w:eastAsia="Times New Roman" w:hAnsi="Times New Roman" w:cs="Times New Roman"/>
          <w:kern w:val="0"/>
          <w14:ligatures w14:val="none"/>
        </w:rPr>
      </w:pPr>
    </w:p>
    <w:p w14:paraId="05A2F21D" w14:textId="73CB8E3F" w:rsidR="007C7338" w:rsidRPr="007C7338" w:rsidRDefault="007C7338" w:rsidP="00E50D51">
      <w:pPr>
        <w:pStyle w:val="NormalWeb"/>
        <w:spacing w:before="0" w:beforeAutospacing="0" w:after="0" w:afterAutospacing="0" w:line="480" w:lineRule="auto"/>
        <w:contextualSpacing/>
      </w:pPr>
    </w:p>
    <w:p w14:paraId="66254017" w14:textId="39C78A33" w:rsidR="00A56639" w:rsidRDefault="00A56639" w:rsidP="007C7338">
      <w:pPr>
        <w:pStyle w:val="NormalWeb"/>
        <w:ind w:left="360"/>
      </w:pPr>
    </w:p>
    <w:p w14:paraId="7263C44B" w14:textId="5FB9D3F3" w:rsidR="00333389" w:rsidRDefault="00333389" w:rsidP="00A56639">
      <w:pPr>
        <w:pStyle w:val="NormalWeb"/>
        <w:spacing w:before="0" w:beforeAutospacing="0" w:after="0" w:afterAutospacing="0" w:line="480" w:lineRule="auto"/>
        <w:ind w:left="360"/>
        <w:contextualSpacing/>
      </w:pPr>
    </w:p>
    <w:p w14:paraId="171CCA2D" w14:textId="102F35B5" w:rsidR="00BE61C2" w:rsidRPr="00333389" w:rsidRDefault="00BE61C2" w:rsidP="00333389">
      <w:pPr>
        <w:spacing w:after="0" w:line="480" w:lineRule="auto"/>
        <w:ind w:left="360"/>
        <w:rPr>
          <w:rFonts w:ascii="Times New Roman" w:hAnsi="Times New Roman" w:cs="Times New Roman"/>
        </w:rPr>
      </w:pPr>
    </w:p>
    <w:p w14:paraId="7D24E3E1" w14:textId="2436B6CC" w:rsidR="00BE61C2" w:rsidRPr="00BE61C2" w:rsidRDefault="00BE61C2" w:rsidP="00BE61C2">
      <w:pPr>
        <w:spacing w:after="0" w:line="480" w:lineRule="auto"/>
        <w:rPr>
          <w:rFonts w:ascii="Times New Roman" w:hAnsi="Times New Roman" w:cs="Times New Roman"/>
        </w:rPr>
      </w:pPr>
    </w:p>
    <w:sectPr w:rsidR="00BE61C2" w:rsidRPr="00BE6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928E6"/>
    <w:multiLevelType w:val="multilevel"/>
    <w:tmpl w:val="7F64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6066E5"/>
    <w:multiLevelType w:val="hybridMultilevel"/>
    <w:tmpl w:val="AEAEF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394877">
    <w:abstractNumId w:val="1"/>
  </w:num>
  <w:num w:numId="2" w16cid:durableId="108969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AC"/>
    <w:rsid w:val="000B38E9"/>
    <w:rsid w:val="000C39E3"/>
    <w:rsid w:val="00177B0B"/>
    <w:rsid w:val="00333389"/>
    <w:rsid w:val="0034502B"/>
    <w:rsid w:val="00417EB0"/>
    <w:rsid w:val="004A4E5F"/>
    <w:rsid w:val="004D193A"/>
    <w:rsid w:val="005E344A"/>
    <w:rsid w:val="00653557"/>
    <w:rsid w:val="00673077"/>
    <w:rsid w:val="00716292"/>
    <w:rsid w:val="007C7338"/>
    <w:rsid w:val="008349E5"/>
    <w:rsid w:val="00852F7E"/>
    <w:rsid w:val="009C45CA"/>
    <w:rsid w:val="00A56639"/>
    <w:rsid w:val="00AF47D8"/>
    <w:rsid w:val="00AF6AAC"/>
    <w:rsid w:val="00B03E96"/>
    <w:rsid w:val="00B62E29"/>
    <w:rsid w:val="00B91E1F"/>
    <w:rsid w:val="00BA226F"/>
    <w:rsid w:val="00BE61C2"/>
    <w:rsid w:val="00BF00FD"/>
    <w:rsid w:val="00C263C8"/>
    <w:rsid w:val="00C56AF2"/>
    <w:rsid w:val="00D82E84"/>
    <w:rsid w:val="00DB4321"/>
    <w:rsid w:val="00E50D51"/>
    <w:rsid w:val="00FD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1821"/>
  <w15:chartTrackingRefBased/>
  <w15:docId w15:val="{C5712CA8-F417-294E-9BBE-0041C702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6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6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AC"/>
    <w:rPr>
      <w:rFonts w:eastAsiaTheme="majorEastAsia" w:cstheme="majorBidi"/>
      <w:color w:val="272727" w:themeColor="text1" w:themeTint="D8"/>
    </w:rPr>
  </w:style>
  <w:style w:type="paragraph" w:styleId="Title">
    <w:name w:val="Title"/>
    <w:basedOn w:val="Normal"/>
    <w:next w:val="Normal"/>
    <w:link w:val="TitleChar"/>
    <w:uiPriority w:val="10"/>
    <w:qFormat/>
    <w:rsid w:val="00AF6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AC"/>
    <w:pPr>
      <w:spacing w:before="160"/>
      <w:jc w:val="center"/>
    </w:pPr>
    <w:rPr>
      <w:i/>
      <w:iCs/>
      <w:color w:val="404040" w:themeColor="text1" w:themeTint="BF"/>
    </w:rPr>
  </w:style>
  <w:style w:type="character" w:customStyle="1" w:styleId="QuoteChar">
    <w:name w:val="Quote Char"/>
    <w:basedOn w:val="DefaultParagraphFont"/>
    <w:link w:val="Quote"/>
    <w:uiPriority w:val="29"/>
    <w:rsid w:val="00AF6AAC"/>
    <w:rPr>
      <w:i/>
      <w:iCs/>
      <w:color w:val="404040" w:themeColor="text1" w:themeTint="BF"/>
    </w:rPr>
  </w:style>
  <w:style w:type="paragraph" w:styleId="ListParagraph">
    <w:name w:val="List Paragraph"/>
    <w:basedOn w:val="Normal"/>
    <w:uiPriority w:val="34"/>
    <w:qFormat/>
    <w:rsid w:val="00AF6AAC"/>
    <w:pPr>
      <w:ind w:left="720"/>
      <w:contextualSpacing/>
    </w:pPr>
  </w:style>
  <w:style w:type="character" w:styleId="IntenseEmphasis">
    <w:name w:val="Intense Emphasis"/>
    <w:basedOn w:val="DefaultParagraphFont"/>
    <w:uiPriority w:val="21"/>
    <w:qFormat/>
    <w:rsid w:val="00AF6AAC"/>
    <w:rPr>
      <w:i/>
      <w:iCs/>
      <w:color w:val="0F4761" w:themeColor="accent1" w:themeShade="BF"/>
    </w:rPr>
  </w:style>
  <w:style w:type="paragraph" w:styleId="IntenseQuote">
    <w:name w:val="Intense Quote"/>
    <w:basedOn w:val="Normal"/>
    <w:next w:val="Normal"/>
    <w:link w:val="IntenseQuoteChar"/>
    <w:uiPriority w:val="30"/>
    <w:qFormat/>
    <w:rsid w:val="00AF6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AC"/>
    <w:rPr>
      <w:i/>
      <w:iCs/>
      <w:color w:val="0F4761" w:themeColor="accent1" w:themeShade="BF"/>
    </w:rPr>
  </w:style>
  <w:style w:type="character" w:styleId="IntenseReference">
    <w:name w:val="Intense Reference"/>
    <w:basedOn w:val="DefaultParagraphFont"/>
    <w:uiPriority w:val="32"/>
    <w:qFormat/>
    <w:rsid w:val="00AF6AAC"/>
    <w:rPr>
      <w:b/>
      <w:bCs/>
      <w:smallCaps/>
      <w:color w:val="0F4761" w:themeColor="accent1" w:themeShade="BF"/>
      <w:spacing w:val="5"/>
    </w:rPr>
  </w:style>
  <w:style w:type="paragraph" w:styleId="NormalWeb">
    <w:name w:val="Normal (Web)"/>
    <w:basedOn w:val="Normal"/>
    <w:uiPriority w:val="99"/>
    <w:semiHidden/>
    <w:unhideWhenUsed/>
    <w:rsid w:val="003333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33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6F2A-5040-A24A-B543-37B7E86A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Way</dc:creator>
  <cp:keywords/>
  <dc:description/>
  <cp:lastModifiedBy>Kyleigh Way</cp:lastModifiedBy>
  <cp:revision>2</cp:revision>
  <dcterms:created xsi:type="dcterms:W3CDTF">2026-02-09T23:40:00Z</dcterms:created>
  <dcterms:modified xsi:type="dcterms:W3CDTF">2026-02-09T23:40:00Z</dcterms:modified>
</cp:coreProperties>
</file>