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7C94C" w14:textId="77777777" w:rsidR="007376CB" w:rsidRDefault="00BE1A30">
      <w:pPr>
        <w:spacing w:after="1961" w:line="259" w:lineRule="auto"/>
        <w:ind w:left="0" w:firstLine="0"/>
      </w:pPr>
      <w:r>
        <w:rPr>
          <w:rFonts w:ascii="Times New Roman" w:eastAsia="Times New Roman" w:hAnsi="Times New Roman" w:cs="Times New Roman"/>
        </w:rPr>
        <w:t xml:space="preserve"> </w:t>
      </w:r>
    </w:p>
    <w:p w14:paraId="1F522FA5" w14:textId="77777777" w:rsidR="007376CB" w:rsidRDefault="00BE1A30">
      <w:pPr>
        <w:spacing w:after="160" w:line="259" w:lineRule="auto"/>
        <w:ind w:left="1801" w:firstLine="0"/>
      </w:pPr>
      <w:r>
        <w:rPr>
          <w:b/>
        </w:rPr>
        <w:t xml:space="preserve">Assignment Questions: </w:t>
      </w:r>
    </w:p>
    <w:p w14:paraId="2EFA87E9" w14:textId="77777777" w:rsidR="007376CB" w:rsidRPr="00B33D80" w:rsidRDefault="00BE1A30">
      <w:pPr>
        <w:numPr>
          <w:ilvl w:val="0"/>
          <w:numId w:val="1"/>
        </w:numPr>
        <w:spacing w:after="0" w:line="361" w:lineRule="auto"/>
        <w:ind w:hanging="360"/>
      </w:pPr>
      <w:r>
        <w:t xml:space="preserve">Provide at least one example of the filmmaker’s </w:t>
      </w:r>
      <w:r>
        <w:rPr>
          <w:b/>
        </w:rPr>
        <w:t>bargaining position</w:t>
      </w:r>
      <w:r>
        <w:t xml:space="preserve"> in the negotiation? </w:t>
      </w:r>
      <w:r>
        <w:rPr>
          <w:b/>
        </w:rPr>
        <w:t xml:space="preserve"> </w:t>
      </w:r>
    </w:p>
    <w:p w14:paraId="5C3CCD9C" w14:textId="54ECBDBB" w:rsidR="007376CB" w:rsidRDefault="00B33D80" w:rsidP="00B33D80">
      <w:pPr>
        <w:spacing w:after="124"/>
        <w:ind w:left="1801" w:firstLine="345"/>
      </w:pPr>
      <w:r>
        <w:t xml:space="preserve">An example of the filmmaker’s bargaining position in the negotiation is her request to obtain exclusive rights to produce a documentary about the athlete’s life and career. This position reflects a clear demand focused on control over the project and its distribution. From a negotiation theory perspective, this represents a positional approach, </w:t>
      </w:r>
      <w:r>
        <w:t>in which</w:t>
      </w:r>
      <w:r>
        <w:t xml:space="preserve"> the filmmaker </w:t>
      </w:r>
      <w:r>
        <w:t>states</w:t>
      </w:r>
      <w:r>
        <w:t xml:space="preserve"> what she wants rather than why she wants it (Fisher et al., 2011). She attempts to justify this by emphasizing the </w:t>
      </w:r>
      <w:r>
        <w:t xml:space="preserve">project's </w:t>
      </w:r>
      <w:r>
        <w:t>exposure and storytelling value. However, this position alone does not fully reveal her deeper motivations tied to financial success and creative recognition.</w:t>
      </w:r>
      <w:r w:rsidR="00BE1A30">
        <w:rPr>
          <w:b/>
        </w:rPr>
        <w:t xml:space="preserve"> </w:t>
      </w:r>
    </w:p>
    <w:p w14:paraId="23A8BCF4" w14:textId="77777777" w:rsidR="007376CB" w:rsidRDefault="00BE1A30">
      <w:pPr>
        <w:spacing w:after="124" w:line="259" w:lineRule="auto"/>
        <w:ind w:left="1801" w:firstLine="0"/>
      </w:pPr>
      <w:r>
        <w:rPr>
          <w:b/>
        </w:rPr>
        <w:t xml:space="preserve"> </w:t>
      </w:r>
    </w:p>
    <w:p w14:paraId="1B65A9F8" w14:textId="77777777" w:rsidR="007376CB" w:rsidRDefault="00BE1A30">
      <w:pPr>
        <w:spacing w:after="124" w:line="259" w:lineRule="auto"/>
        <w:ind w:left="1801" w:firstLine="0"/>
      </w:pPr>
      <w:r>
        <w:rPr>
          <w:b/>
        </w:rPr>
        <w:t xml:space="preserve"> </w:t>
      </w:r>
    </w:p>
    <w:p w14:paraId="263653F4" w14:textId="77777777" w:rsidR="007376CB" w:rsidRDefault="00BE1A30">
      <w:pPr>
        <w:spacing w:after="155" w:line="259" w:lineRule="auto"/>
        <w:ind w:left="1801" w:firstLine="0"/>
      </w:pPr>
      <w:r>
        <w:rPr>
          <w:b/>
        </w:rPr>
        <w:t xml:space="preserve"> </w:t>
      </w:r>
    </w:p>
    <w:p w14:paraId="0D3F8EB6" w14:textId="77777777" w:rsidR="007376CB" w:rsidRDefault="00BE1A30">
      <w:pPr>
        <w:numPr>
          <w:ilvl w:val="0"/>
          <w:numId w:val="1"/>
        </w:numPr>
        <w:spacing w:after="0" w:line="361" w:lineRule="auto"/>
        <w:ind w:hanging="360"/>
      </w:pPr>
      <w:r>
        <w:t xml:space="preserve">Provide at least one example of the athlete’s </w:t>
      </w:r>
      <w:r>
        <w:rPr>
          <w:b/>
        </w:rPr>
        <w:t>bargaining position</w:t>
      </w:r>
      <w:r>
        <w:t xml:space="preserve"> in the negotiation?  </w:t>
      </w:r>
    </w:p>
    <w:p w14:paraId="05430FA6" w14:textId="55AC35CB" w:rsidR="00B33D80" w:rsidRPr="00B33D80" w:rsidRDefault="00BE1A30" w:rsidP="00B33D80">
      <w:pPr>
        <w:pStyle w:val="NormalWeb"/>
        <w:rPr>
          <w:rFonts w:ascii="Calibri" w:eastAsia="Times New Roman" w:hAnsi="Calibri" w:cs="Calibri"/>
          <w:color w:val="auto"/>
          <w:kern w:val="0"/>
          <w:lang w:bidi="ar-SA"/>
          <w14:ligatures w14:val="none"/>
        </w:rPr>
      </w:pPr>
      <w:r>
        <w:t xml:space="preserve"> </w:t>
      </w:r>
      <w:r w:rsidR="00B33D80" w:rsidRPr="00B33D80">
        <w:rPr>
          <w:rFonts w:ascii="Calibri" w:hAnsi="Calibri" w:cs="Calibri"/>
        </w:rPr>
        <w:tab/>
      </w:r>
      <w:r w:rsidR="00B33D80">
        <w:rPr>
          <w:rFonts w:ascii="Calibri" w:hAnsi="Calibri" w:cs="Calibri"/>
        </w:rPr>
        <w:tab/>
      </w:r>
      <w:r w:rsidR="00B33D80" w:rsidRPr="00B33D80">
        <w:rPr>
          <w:rFonts w:ascii="Calibri" w:eastAsia="Times New Roman" w:hAnsi="Calibri" w:cs="Calibri"/>
          <w:color w:val="auto"/>
          <w:kern w:val="0"/>
          <w:lang w:bidi="ar-SA"/>
          <w14:ligatures w14:val="none"/>
        </w:rPr>
        <w:t xml:space="preserve">The athlete’s bargaining position is her insistence on maintaining control over how she is portrayed in the documentary. She expresses concern about protecting her public image and ensuring the film aligns with her brand. This reflects a protective and risk-averse stance, which is common in entertainment negotiations involving personal likeness. According to Fisher et al. (2011), this is an example of positional bargaining, where a party focuses on demands rather </w:t>
      </w:r>
      <w:r w:rsidR="00B33D80" w:rsidRPr="00B33D80">
        <w:rPr>
          <w:rFonts w:ascii="Calibri" w:eastAsia="Times New Roman" w:hAnsi="Calibri" w:cs="Calibri"/>
          <w:color w:val="auto"/>
          <w:kern w:val="0"/>
          <w:lang w:bidi="ar-SA"/>
          <w14:ligatures w14:val="none"/>
        </w:rPr>
        <w:lastRenderedPageBreak/>
        <w:t>than underlying concerns. Her position demonstrates hesitation to commit without guarantees in place.</w:t>
      </w:r>
    </w:p>
    <w:p w14:paraId="2CBD477F" w14:textId="64A0D3C3" w:rsidR="007376CB" w:rsidRPr="00B33D80" w:rsidRDefault="00BE1A30" w:rsidP="00B33D80">
      <w:pPr>
        <w:spacing w:after="0" w:line="240" w:lineRule="auto"/>
        <w:ind w:left="0" w:firstLine="0"/>
        <w:rPr>
          <w:rFonts w:ascii="Times New Roman" w:eastAsia="Times New Roman" w:hAnsi="Times New Roman" w:cs="Times New Roman"/>
          <w:color w:val="auto"/>
          <w:kern w:val="0"/>
          <w:lang w:bidi="ar-SA"/>
          <w14:ligatures w14:val="none"/>
        </w:rPr>
      </w:pPr>
      <w:r>
        <w:t xml:space="preserve"> </w:t>
      </w:r>
    </w:p>
    <w:p w14:paraId="746C937F" w14:textId="77777777" w:rsidR="007376CB" w:rsidRDefault="00BE1A30">
      <w:pPr>
        <w:spacing w:after="124" w:line="259" w:lineRule="auto"/>
        <w:ind w:left="1801" w:firstLine="0"/>
      </w:pPr>
      <w:r>
        <w:t xml:space="preserve"> </w:t>
      </w:r>
    </w:p>
    <w:p w14:paraId="04637078" w14:textId="77777777" w:rsidR="007376CB" w:rsidRDefault="00BE1A30">
      <w:pPr>
        <w:spacing w:after="160" w:line="259" w:lineRule="auto"/>
        <w:ind w:left="1801" w:firstLine="0"/>
      </w:pPr>
      <w:r>
        <w:t xml:space="preserve"> </w:t>
      </w:r>
    </w:p>
    <w:p w14:paraId="75DE4C56" w14:textId="77777777" w:rsidR="007376CB" w:rsidRDefault="00BE1A30">
      <w:pPr>
        <w:numPr>
          <w:ilvl w:val="0"/>
          <w:numId w:val="1"/>
        </w:numPr>
        <w:ind w:hanging="360"/>
      </w:pPr>
      <w:r>
        <w:t xml:space="preserve">What were the </w:t>
      </w:r>
      <w:r>
        <w:rPr>
          <w:b/>
        </w:rPr>
        <w:t>underlying interests</w:t>
      </w:r>
      <w:r>
        <w:t xml:space="preserve"> of the tennis star in this negotiation (e.g., what was really motivating her to be in the negotiation besides the bargaining positions she stated)?   </w:t>
      </w:r>
    </w:p>
    <w:p w14:paraId="20C06EB9" w14:textId="1C9AEEA5" w:rsidR="00B33D80" w:rsidRPr="00B33D80" w:rsidRDefault="00BE1A30" w:rsidP="00B33D80">
      <w:pPr>
        <w:pStyle w:val="NormalWeb"/>
        <w:rPr>
          <w:rFonts w:ascii="Calibri" w:eastAsia="Times New Roman" w:hAnsi="Calibri" w:cs="Calibri"/>
          <w:color w:val="auto"/>
          <w:kern w:val="0"/>
          <w:lang w:bidi="ar-SA"/>
          <w14:ligatures w14:val="none"/>
        </w:rPr>
      </w:pPr>
      <w:r w:rsidRPr="00B33D80">
        <w:rPr>
          <w:rFonts w:ascii="Calibri" w:hAnsi="Calibri" w:cs="Calibri"/>
        </w:rPr>
        <w:t xml:space="preserve"> </w:t>
      </w:r>
      <w:r w:rsidR="00B33D80">
        <w:rPr>
          <w:rFonts w:ascii="Calibri" w:hAnsi="Calibri" w:cs="Calibri"/>
        </w:rPr>
        <w:tab/>
      </w:r>
      <w:r w:rsidR="00B33D80">
        <w:rPr>
          <w:rFonts w:ascii="Calibri" w:hAnsi="Calibri" w:cs="Calibri"/>
        </w:rPr>
        <w:tab/>
      </w:r>
      <w:r w:rsidR="00B33D80" w:rsidRPr="00B33D80">
        <w:rPr>
          <w:rFonts w:ascii="Calibri" w:eastAsia="Times New Roman" w:hAnsi="Calibri" w:cs="Calibri"/>
          <w:color w:val="auto"/>
          <w:kern w:val="0"/>
          <w:lang w:bidi="ar-SA"/>
          <w14:ligatures w14:val="none"/>
        </w:rPr>
        <w:t xml:space="preserve">The athlete’s underlying interests go beyond control and are centered on protecting her reputation, brand value, and long-term career opportunities. She is motivated by maintaining trust with sponsors, fans, and stakeholders, which directly impacts her income and endorsements. Additionally, she likely values authenticity and wants her story told in a way that reflects her true identity. Fisher et al. (2011) </w:t>
      </w:r>
      <w:r w:rsidR="00B33D80">
        <w:rPr>
          <w:rFonts w:ascii="Calibri" w:eastAsia="Times New Roman" w:hAnsi="Calibri" w:cs="Calibri"/>
          <w:color w:val="auto"/>
          <w:kern w:val="0"/>
          <w:lang w:bidi="ar-SA"/>
          <w14:ligatures w14:val="none"/>
        </w:rPr>
        <w:t>highlight</w:t>
      </w:r>
      <w:r w:rsidR="00B33D80" w:rsidRPr="00B33D80">
        <w:rPr>
          <w:rFonts w:ascii="Calibri" w:eastAsia="Times New Roman" w:hAnsi="Calibri" w:cs="Calibri"/>
          <w:color w:val="auto"/>
          <w:kern w:val="0"/>
          <w:lang w:bidi="ar-SA"/>
          <w14:ligatures w14:val="none"/>
        </w:rPr>
        <w:t xml:space="preserve"> the importance of focusing on interests rather than positions to reach better outcomes. Understanding these motivations allows for more flexible and collaborative solutions.</w:t>
      </w:r>
    </w:p>
    <w:p w14:paraId="6C23678A" w14:textId="11646FE0" w:rsidR="007376CB" w:rsidRDefault="007376CB" w:rsidP="00B33D80">
      <w:pPr>
        <w:spacing w:after="124"/>
        <w:ind w:left="1801" w:firstLine="345"/>
      </w:pPr>
    </w:p>
    <w:p w14:paraId="25481358" w14:textId="77777777" w:rsidR="007376CB" w:rsidRDefault="00BE1A30">
      <w:pPr>
        <w:spacing w:after="124" w:line="259" w:lineRule="auto"/>
        <w:ind w:left="1801" w:firstLine="0"/>
      </w:pPr>
      <w:r>
        <w:t xml:space="preserve"> </w:t>
      </w:r>
    </w:p>
    <w:p w14:paraId="591AD455" w14:textId="77777777" w:rsidR="007376CB" w:rsidRDefault="00BE1A30">
      <w:pPr>
        <w:spacing w:after="124" w:line="259" w:lineRule="auto"/>
        <w:ind w:left="1801" w:firstLine="0"/>
      </w:pPr>
      <w:r>
        <w:t xml:space="preserve"> </w:t>
      </w:r>
    </w:p>
    <w:p w14:paraId="7550B803" w14:textId="77777777" w:rsidR="007376CB" w:rsidRDefault="00BE1A30">
      <w:pPr>
        <w:spacing w:after="160" w:line="259" w:lineRule="auto"/>
        <w:ind w:left="1801" w:firstLine="0"/>
      </w:pPr>
      <w:r>
        <w:t xml:space="preserve"> </w:t>
      </w:r>
    </w:p>
    <w:p w14:paraId="34B043F3" w14:textId="77777777" w:rsidR="007376CB" w:rsidRDefault="00BE1A30">
      <w:pPr>
        <w:numPr>
          <w:ilvl w:val="0"/>
          <w:numId w:val="1"/>
        </w:numPr>
        <w:ind w:hanging="360"/>
      </w:pPr>
      <w:r>
        <w:t xml:space="preserve">What were the </w:t>
      </w:r>
      <w:r>
        <w:rPr>
          <w:b/>
        </w:rPr>
        <w:t>underlying</w:t>
      </w:r>
      <w:r>
        <w:t xml:space="preserve"> </w:t>
      </w:r>
      <w:r>
        <w:rPr>
          <w:b/>
        </w:rPr>
        <w:t>interests</w:t>
      </w:r>
      <w:r>
        <w:t xml:space="preserve"> of the filmmaker in this negotiation (e.g., what was really motivating her to be in the negotiation besides the bargaining positions she stated)?  </w:t>
      </w:r>
    </w:p>
    <w:p w14:paraId="692B9AAA" w14:textId="77777777" w:rsidR="007376CB" w:rsidRDefault="00BE1A30" w:rsidP="00B33D80">
      <w:pPr>
        <w:spacing w:after="124"/>
        <w:ind w:left="1801" w:firstLine="0"/>
      </w:pPr>
      <w:r>
        <w:t xml:space="preserve"> </w:t>
      </w:r>
    </w:p>
    <w:p w14:paraId="56520215" w14:textId="2761599D" w:rsidR="007376CB" w:rsidRDefault="00B33D80" w:rsidP="00B33D80">
      <w:pPr>
        <w:spacing w:after="1284"/>
        <w:ind w:left="1801" w:firstLine="345"/>
      </w:pPr>
      <w:r>
        <w:t xml:space="preserve">The filmmaker’s underlying interests include gaining access to compelling content, producing a successful documentary, and enhancing her professional reputation. She is motivated by both financial gain and creative expression, aiming to tell a story that resonates with audiences. Her interest is not just in securing rights, but in creating a </w:t>
      </w:r>
      <w:r>
        <w:lastRenderedPageBreak/>
        <w:t>high-quality and marketable film. This aligns with the principle of interest-based negotiation outlined by Fisher et al. (2011). Recognizing these interests allows for alternative solutions that still satisfy her core goals.</w:t>
      </w:r>
      <w:r w:rsidR="00BE1A30">
        <w:t xml:space="preserve"> </w:t>
      </w:r>
    </w:p>
    <w:p w14:paraId="2326D1F9" w14:textId="77777777" w:rsidR="007376CB" w:rsidRDefault="00BE1A30">
      <w:pPr>
        <w:spacing w:after="0" w:line="259" w:lineRule="auto"/>
        <w:ind w:left="0" w:firstLine="0"/>
      </w:pPr>
      <w:r>
        <w:rPr>
          <w:rFonts w:ascii="Times New Roman" w:eastAsia="Times New Roman" w:hAnsi="Times New Roman" w:cs="Times New Roman"/>
        </w:rPr>
        <w:t xml:space="preserve"> </w:t>
      </w:r>
    </w:p>
    <w:p w14:paraId="2351F7FA" w14:textId="77777777" w:rsidR="007376CB" w:rsidRDefault="00BE1A30">
      <w:pPr>
        <w:spacing w:after="17" w:line="259" w:lineRule="auto"/>
        <w:ind w:left="1801" w:firstLine="0"/>
      </w:pPr>
      <w:r>
        <w:rPr>
          <w:rFonts w:ascii="Times New Roman" w:eastAsia="Times New Roman" w:hAnsi="Times New Roman" w:cs="Times New Roman"/>
        </w:rPr>
        <w:t xml:space="preserve"> </w:t>
      </w:r>
    </w:p>
    <w:p w14:paraId="1AA30658" w14:textId="77777777" w:rsidR="007376CB" w:rsidRDefault="00BE1A30">
      <w:pPr>
        <w:numPr>
          <w:ilvl w:val="0"/>
          <w:numId w:val="1"/>
        </w:numPr>
        <w:ind w:hanging="360"/>
      </w:pPr>
      <w:r>
        <w:t xml:space="preserve">How did the final agreement create a </w:t>
      </w:r>
      <w:r>
        <w:rPr>
          <w:b/>
        </w:rPr>
        <w:t>mutual benefit</w:t>
      </w:r>
      <w:r>
        <w:t xml:space="preserve"> for </w:t>
      </w:r>
      <w:r>
        <w:rPr>
          <w:i/>
        </w:rPr>
        <w:t>both</w:t>
      </w:r>
      <w:r>
        <w:t xml:space="preserve"> </w:t>
      </w:r>
      <w:r>
        <w:t xml:space="preserve">parties (make sure to connect to the underlying interests)?   </w:t>
      </w:r>
    </w:p>
    <w:p w14:paraId="7B370D3F" w14:textId="77777777" w:rsidR="007376CB" w:rsidRDefault="00BE1A30">
      <w:pPr>
        <w:spacing w:after="124" w:line="259" w:lineRule="auto"/>
        <w:ind w:left="1801" w:firstLine="0"/>
      </w:pPr>
      <w:r>
        <w:t xml:space="preserve"> </w:t>
      </w:r>
    </w:p>
    <w:p w14:paraId="0A041B55" w14:textId="56C63C0E" w:rsidR="007376CB" w:rsidRDefault="00BE1A30" w:rsidP="00B33D80">
      <w:pPr>
        <w:spacing w:after="124"/>
        <w:ind w:left="1801" w:firstLine="0"/>
      </w:pPr>
      <w:r>
        <w:t xml:space="preserve"> </w:t>
      </w:r>
      <w:r w:rsidR="00B33D80">
        <w:tab/>
      </w:r>
      <w:r w:rsidR="00B33D80">
        <w:t>The final agreement creates mutual benefit by aligning the filmmaker’s need for access with the athlete’s need for control and protection. The athlete is given some level of input or approval, which satisfies her interest in safeguarding her image. In return, the filmmaker gains the access needed to produce an authentic and engaging documentary. This demonstrates integrative negotiation, where both parties expand value rather than compete over limited resources (Fisher et al., 2011). The agreement reflects a win-win outcome based on shared interests.</w:t>
      </w:r>
    </w:p>
    <w:p w14:paraId="5A993F81" w14:textId="77777777" w:rsidR="007376CB" w:rsidRDefault="00BE1A30">
      <w:pPr>
        <w:spacing w:after="160" w:line="259" w:lineRule="auto"/>
        <w:ind w:left="1801" w:firstLine="0"/>
      </w:pPr>
      <w:r>
        <w:t xml:space="preserve"> </w:t>
      </w:r>
    </w:p>
    <w:p w14:paraId="44261779" w14:textId="77777777" w:rsidR="007376CB" w:rsidRDefault="00BE1A30">
      <w:pPr>
        <w:numPr>
          <w:ilvl w:val="0"/>
          <w:numId w:val="1"/>
        </w:numPr>
        <w:ind w:hanging="360"/>
      </w:pPr>
      <w:r>
        <w:rPr>
          <w:i/>
        </w:rPr>
        <w:t>What</w:t>
      </w:r>
      <w:r>
        <w:t xml:space="preserve"> </w:t>
      </w:r>
      <w:r>
        <w:rPr>
          <w:i/>
        </w:rPr>
        <w:t>specific</w:t>
      </w:r>
      <w:r>
        <w:t xml:space="preserve"> </w:t>
      </w:r>
      <w:r>
        <w:rPr>
          <w:b/>
        </w:rPr>
        <w:t>neutral criteria</w:t>
      </w:r>
      <w:r>
        <w:t xml:space="preserve"> (such as statistics, industry standards, etc.) were used in this negotiation </w:t>
      </w:r>
      <w:r>
        <w:rPr>
          <w:u w:val="single" w:color="000000"/>
        </w:rPr>
        <w:t>and</w:t>
      </w:r>
      <w:r>
        <w:t xml:space="preserve"> what issues were they used to settle? And </w:t>
      </w:r>
      <w:r>
        <w:rPr>
          <w:i/>
        </w:rPr>
        <w:t>How</w:t>
      </w:r>
      <w:r>
        <w:t xml:space="preserve"> did the </w:t>
      </w:r>
      <w:r>
        <w:rPr>
          <w:b/>
        </w:rPr>
        <w:t>neutral criteria</w:t>
      </w:r>
      <w:r>
        <w:t xml:space="preserve"> help settle the negotiation?   </w:t>
      </w:r>
    </w:p>
    <w:p w14:paraId="045F4E1C" w14:textId="77777777" w:rsidR="007376CB" w:rsidRDefault="00BE1A30">
      <w:pPr>
        <w:spacing w:after="124" w:line="259" w:lineRule="auto"/>
        <w:ind w:left="1801" w:firstLine="0"/>
      </w:pPr>
      <w:r>
        <w:t xml:space="preserve"> </w:t>
      </w:r>
    </w:p>
    <w:p w14:paraId="68B05687" w14:textId="58AD9A5E" w:rsidR="0081663B" w:rsidRPr="0081663B" w:rsidRDefault="00BE1A30" w:rsidP="0081663B">
      <w:pPr>
        <w:pStyle w:val="NormalWeb"/>
        <w:rPr>
          <w:rFonts w:ascii="Calibri" w:eastAsia="Times New Roman" w:hAnsi="Calibri" w:cs="Calibri"/>
          <w:color w:val="auto"/>
          <w:kern w:val="0"/>
          <w:lang w:bidi="ar-SA"/>
          <w14:ligatures w14:val="none"/>
        </w:rPr>
      </w:pPr>
      <w:r>
        <w:t xml:space="preserve"> </w:t>
      </w:r>
      <w:r w:rsidR="00B33D80">
        <w:tab/>
      </w:r>
      <w:r w:rsidR="0081663B" w:rsidRPr="0081663B">
        <w:rPr>
          <w:rFonts w:ascii="Calibri" w:eastAsia="Times New Roman" w:hAnsi="Calibri" w:cs="Calibri"/>
          <w:color w:val="auto"/>
          <w:kern w:val="0"/>
          <w:lang w:bidi="ar-SA"/>
          <w14:ligatures w14:val="none"/>
        </w:rPr>
        <w:t xml:space="preserve">Neutral criteria used in the negotiation include industry standards for documentary agreements, compensation structures, and athlete endorsement considerations. These objective benchmarks help both parties evaluate fairness without relying solely on personal opinions. Fisher et al. (2011) argue that using objective criteria is essential for principled negotiation because it removes bias </w:t>
      </w:r>
      <w:r w:rsidR="0081663B" w:rsidRPr="0081663B">
        <w:rPr>
          <w:rFonts w:ascii="Calibri" w:eastAsia="Times New Roman" w:hAnsi="Calibri" w:cs="Calibri"/>
          <w:color w:val="auto"/>
          <w:kern w:val="0"/>
          <w:lang w:bidi="ar-SA"/>
          <w14:ligatures w14:val="none"/>
        </w:rPr>
        <w:lastRenderedPageBreak/>
        <w:t xml:space="preserve">and promotes fairness. For example, referencing how similar documentaries handle creative control and profit sharing provides legitimacy to each side’s arguments. This helped both parties reach </w:t>
      </w:r>
      <w:r w:rsidR="0081663B" w:rsidRPr="0081663B">
        <w:rPr>
          <w:rFonts w:ascii="Calibri" w:eastAsia="Times New Roman" w:hAnsi="Calibri" w:cs="Calibri"/>
          <w:color w:val="auto"/>
          <w:kern w:val="0"/>
          <w:lang w:bidi="ar-SA"/>
          <w14:ligatures w14:val="none"/>
        </w:rPr>
        <w:t xml:space="preserve">an </w:t>
      </w:r>
      <w:r w:rsidR="0081663B" w:rsidRPr="0081663B">
        <w:rPr>
          <w:rFonts w:ascii="Calibri" w:eastAsia="Times New Roman" w:hAnsi="Calibri" w:cs="Calibri"/>
          <w:color w:val="auto"/>
          <w:kern w:val="0"/>
          <w:lang w:bidi="ar-SA"/>
          <w14:ligatures w14:val="none"/>
        </w:rPr>
        <w:t>agreement more efficiently.</w:t>
      </w:r>
    </w:p>
    <w:p w14:paraId="574430C8" w14:textId="4FF474C0" w:rsidR="007376CB" w:rsidRDefault="007376CB" w:rsidP="0081663B">
      <w:pPr>
        <w:spacing w:after="124"/>
        <w:ind w:left="1801" w:firstLine="0"/>
      </w:pPr>
    </w:p>
    <w:p w14:paraId="6E1053BA" w14:textId="77777777" w:rsidR="007376CB" w:rsidRDefault="00BE1A30">
      <w:pPr>
        <w:spacing w:after="161" w:line="259" w:lineRule="auto"/>
        <w:ind w:left="1801" w:firstLine="0"/>
      </w:pPr>
      <w:r>
        <w:t xml:space="preserve"> </w:t>
      </w:r>
    </w:p>
    <w:p w14:paraId="0368F611" w14:textId="77777777" w:rsidR="007376CB" w:rsidRDefault="00BE1A30">
      <w:pPr>
        <w:numPr>
          <w:ilvl w:val="0"/>
          <w:numId w:val="1"/>
        </w:numPr>
        <w:spacing w:after="0" w:line="361" w:lineRule="auto"/>
        <w:ind w:hanging="360"/>
      </w:pPr>
      <w:r>
        <w:t>Define the term, BATNA and what each party’s BATNA might have been if</w:t>
      </w:r>
      <w:r>
        <w:t xml:space="preserve"> no agreement was reached.   </w:t>
      </w:r>
    </w:p>
    <w:p w14:paraId="6CB4A870" w14:textId="77777777" w:rsidR="007376CB" w:rsidRDefault="00BE1A30">
      <w:pPr>
        <w:spacing w:after="124" w:line="259" w:lineRule="auto"/>
        <w:ind w:left="1801" w:firstLine="0"/>
      </w:pPr>
      <w:r>
        <w:t xml:space="preserve"> </w:t>
      </w:r>
    </w:p>
    <w:p w14:paraId="69AECEB7" w14:textId="22000E8A" w:rsidR="007376CB" w:rsidRDefault="00BE1A30" w:rsidP="0081663B">
      <w:pPr>
        <w:spacing w:after="124"/>
        <w:ind w:left="1801" w:firstLine="0"/>
      </w:pPr>
      <w:r>
        <w:t xml:space="preserve"> </w:t>
      </w:r>
      <w:r w:rsidR="00B33D80">
        <w:tab/>
      </w:r>
      <w:r w:rsidR="0081663B">
        <w:t xml:space="preserve">BATNA stands for Best Alternative to a Negotiated Agreement and represents what each party would do if no deal </w:t>
      </w:r>
      <w:r w:rsidR="0081663B">
        <w:t>were</w:t>
      </w:r>
      <w:r w:rsidR="0081663B">
        <w:t xml:space="preserve"> reached (Fisher et al., 2011). The athlete’s BATNA would likely be declining the documentary and maintaining full control over her image and brand. The filmmaker’s BATNA would be pursuing a different subject or project. Understanding BATNA is critical because it determines each party’s leverage in the negotiation. In this case, both parties likely recognized that collaboration offered more value than their alternatives.</w:t>
      </w:r>
    </w:p>
    <w:p w14:paraId="723D303F" w14:textId="77777777" w:rsidR="007376CB" w:rsidRDefault="00BE1A30">
      <w:pPr>
        <w:spacing w:after="155" w:line="259" w:lineRule="auto"/>
        <w:ind w:left="1801" w:firstLine="0"/>
      </w:pPr>
      <w:r>
        <w:t xml:space="preserve"> </w:t>
      </w:r>
    </w:p>
    <w:p w14:paraId="3070E510" w14:textId="1774BD0C" w:rsidR="007376CB" w:rsidRDefault="00BE1A30">
      <w:pPr>
        <w:numPr>
          <w:ilvl w:val="0"/>
          <w:numId w:val="1"/>
        </w:numPr>
        <w:spacing w:after="1161"/>
        <w:ind w:hanging="360"/>
      </w:pPr>
      <w:r>
        <w:t>Identify and describe in detail six (6) contract provisions that you think should be included in an agreement between the athlete and the filmmaker.  You should have at least one complete sentence for each contract provision</w:t>
      </w:r>
      <w:r w:rsidR="00B33D80">
        <w:t>,</w:t>
      </w:r>
      <w:r>
        <w:t xml:space="preserve"> identifying and defining the provision as well as describing why you think it would be important. Three of those contract provisions should be substantive provisions that are unique to the specific negotiation. Three of the contract provisions should describe common legal provisions/ boilerplate provisions, which are provisions that you see commonly in most contracts. I described examples of contract provisions in the GoTo Session. Please </w:t>
      </w:r>
      <w:r>
        <w:rPr>
          <w:b/>
        </w:rPr>
        <w:t>WATCH</w:t>
      </w:r>
      <w:r>
        <w:t xml:space="preserve"> the archive and video lessons before completing this question.</w:t>
      </w:r>
      <w:r>
        <w:t xml:space="preserve"> </w:t>
      </w:r>
    </w:p>
    <w:p w14:paraId="3D1E82D6" w14:textId="77777777" w:rsidR="0081663B" w:rsidRPr="0081663B" w:rsidRDefault="0081663B" w:rsidP="0081663B">
      <w:pPr>
        <w:spacing w:before="100" w:beforeAutospacing="1" w:after="100" w:afterAutospacing="1"/>
        <w:ind w:left="2146" w:firstLine="0"/>
        <w:rPr>
          <w:rFonts w:eastAsia="Times New Roman"/>
          <w:color w:val="auto"/>
          <w:kern w:val="0"/>
          <w:lang w:bidi="ar-SA"/>
          <w14:ligatures w14:val="none"/>
        </w:rPr>
      </w:pPr>
      <w:r w:rsidRPr="0081663B">
        <w:rPr>
          <w:rFonts w:eastAsia="Times New Roman"/>
          <w:color w:val="auto"/>
          <w:kern w:val="0"/>
          <w:lang w:bidi="ar-SA"/>
          <w14:ligatures w14:val="none"/>
        </w:rPr>
        <w:lastRenderedPageBreak/>
        <w:t>One important substantive provision is creative control, which allows the athlete to approve or influence how she is portrayed, protecting her image. A second is compensation and revenue sharing, which defines how profits from the documentary are divided between both parties. A third substantive provision is access rights, outlining what footage, interviews, and personal content the filmmaker can use. A common boilerplate provision is a confidentiality clause, ensuring sensitive information remains protected. Another is a termination clause, which explains how either party can exit the agreement if necessary. Finally, a dispute resolution clause establishes how conflicts will be handled, such as through mediation or arbitration, aligning with structured negotiation practices discussed by Fisher et al. (2011).</w:t>
      </w:r>
    </w:p>
    <w:p w14:paraId="76105A2C" w14:textId="77777777" w:rsidR="007376CB" w:rsidRDefault="00BE1A30">
      <w:pPr>
        <w:spacing w:after="0" w:line="259" w:lineRule="auto"/>
        <w:ind w:left="1801" w:firstLine="0"/>
      </w:pPr>
      <w:r>
        <w:rPr>
          <w:rFonts w:ascii="Times New Roman" w:eastAsia="Times New Roman" w:hAnsi="Times New Roman" w:cs="Times New Roman"/>
        </w:rPr>
        <w:t xml:space="preserve"> </w:t>
      </w:r>
    </w:p>
    <w:p w14:paraId="6C602F23" w14:textId="77777777" w:rsidR="007376CB" w:rsidRDefault="00BE1A30">
      <w:pPr>
        <w:spacing w:after="17" w:line="259" w:lineRule="auto"/>
        <w:ind w:left="1801" w:firstLine="0"/>
      </w:pPr>
      <w:r>
        <w:rPr>
          <w:rFonts w:ascii="Times New Roman" w:eastAsia="Times New Roman" w:hAnsi="Times New Roman" w:cs="Times New Roman"/>
        </w:rPr>
        <w:t xml:space="preserve"> </w:t>
      </w:r>
    </w:p>
    <w:p w14:paraId="40FD33CC" w14:textId="77777777" w:rsidR="007376CB" w:rsidRDefault="00BE1A30">
      <w:pPr>
        <w:numPr>
          <w:ilvl w:val="0"/>
          <w:numId w:val="1"/>
        </w:numPr>
        <w:spacing w:after="301"/>
        <w:ind w:hanging="360"/>
      </w:pPr>
      <w:r>
        <w:t xml:space="preserve">What was the best thing done in this negotiation (e.g., what did you learn from watching this video about how to properly conduct negotiations or use principled negotiation techniques)? [There is always something that you can </w:t>
      </w:r>
      <w:r>
        <w:t>learn from watching another negotiation. A response of “There was nothing done well” will n</w:t>
      </w:r>
      <w:r>
        <w:t xml:space="preserve">ot receive any credit.]  </w:t>
      </w:r>
    </w:p>
    <w:p w14:paraId="6CF9F535" w14:textId="362C7628" w:rsidR="007376CB" w:rsidRDefault="00BE1A30" w:rsidP="0081663B">
      <w:pPr>
        <w:spacing w:after="9744"/>
        <w:ind w:left="1801" w:firstLine="0"/>
        <w:rPr>
          <w:rFonts w:ascii="Times New Roman" w:eastAsia="Times New Roman" w:hAnsi="Times New Roman" w:cs="Times New Roman"/>
        </w:rPr>
      </w:pPr>
      <w:r>
        <w:rPr>
          <w:rFonts w:ascii="Sylfaen" w:eastAsia="Sylfaen" w:hAnsi="Sylfaen" w:cs="Sylfaen"/>
          <w:color w:val="333333"/>
        </w:rPr>
        <w:t xml:space="preserve"> </w:t>
      </w:r>
      <w:r w:rsidR="00B33D80">
        <w:rPr>
          <w:rFonts w:ascii="Sylfaen" w:eastAsia="Sylfaen" w:hAnsi="Sylfaen" w:cs="Sylfaen"/>
          <w:color w:val="333333"/>
        </w:rPr>
        <w:tab/>
      </w:r>
      <w:r w:rsidR="0081663B">
        <w:t>The best aspect of this negotiation was the shift from positional bargaining to interest-based negotiation, where both parties began focusing on what truly mattered rather than rigid demands. This reflects Fisher et al.’s (2011) principle of focusing on interests, which leads to more effective and creative solutions. However, one area that could have been improved is the initial communication, as both parties began with firm positions rather than exploring interests early. This created unnecessary tension and slowed progress. Applying principled negotiation earlier would have made the process more efficient and collaborative.</w:t>
      </w:r>
      <w:r>
        <w:rPr>
          <w:rFonts w:ascii="Times New Roman" w:eastAsia="Times New Roman" w:hAnsi="Times New Roman" w:cs="Times New Roman"/>
        </w:rPr>
        <w:t xml:space="preserve"> </w:t>
      </w:r>
    </w:p>
    <w:p w14:paraId="411DFC41" w14:textId="65295FC7" w:rsidR="0081663B" w:rsidRDefault="0081663B" w:rsidP="0081663B">
      <w:pPr>
        <w:spacing w:after="0"/>
        <w:jc w:val="center"/>
        <w:rPr>
          <w:rFonts w:eastAsia="Times New Roman"/>
        </w:rPr>
      </w:pPr>
      <w:r w:rsidRPr="0081663B">
        <w:rPr>
          <w:rFonts w:eastAsia="Times New Roman"/>
        </w:rPr>
        <w:lastRenderedPageBreak/>
        <w:t>References</w:t>
      </w:r>
    </w:p>
    <w:p w14:paraId="3EF8D9F8" w14:textId="5AF73464" w:rsidR="0081663B" w:rsidRDefault="0081663B" w:rsidP="0081663B">
      <w:pPr>
        <w:spacing w:after="0"/>
        <w:ind w:left="2161" w:firstLine="0"/>
        <w:rPr>
          <w:rFonts w:eastAsia="Times New Roman"/>
        </w:rPr>
      </w:pPr>
      <w:r>
        <w:t xml:space="preserve">Fisher, R., Ury, W., &amp; Patton, B. (2011). </w:t>
      </w:r>
      <w:r>
        <w:rPr>
          <w:rStyle w:val="Emphasis"/>
        </w:rPr>
        <w:t>Getting to yes: Negotiating agreement without giving in</w:t>
      </w:r>
      <w:r>
        <w:t xml:space="preserve"> (3rd ed.). Penguin Books.</w:t>
      </w:r>
    </w:p>
    <w:p w14:paraId="51630EC5" w14:textId="77777777" w:rsidR="0081663B" w:rsidRPr="0081663B" w:rsidRDefault="0081663B" w:rsidP="0081663B">
      <w:pPr>
        <w:spacing w:after="9744"/>
        <w:ind w:left="0" w:firstLine="0"/>
      </w:pPr>
    </w:p>
    <w:sectPr w:rsidR="0081663B" w:rsidRPr="0081663B">
      <w:headerReference w:type="even" r:id="rId7"/>
      <w:headerReference w:type="default" r:id="rId8"/>
      <w:footerReference w:type="even" r:id="rId9"/>
      <w:footerReference w:type="default" r:id="rId10"/>
      <w:headerReference w:type="first" r:id="rId11"/>
      <w:footerReference w:type="first" r:id="rId12"/>
      <w:pgSz w:w="12240" w:h="15840"/>
      <w:pgMar w:top="11" w:right="1829" w:bottom="714" w:left="0" w:header="360"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54F21" w14:textId="77777777" w:rsidR="00BE1A30" w:rsidRDefault="00BE1A30">
      <w:pPr>
        <w:spacing w:after="0" w:line="240" w:lineRule="auto"/>
      </w:pPr>
      <w:r>
        <w:separator/>
      </w:r>
    </w:p>
  </w:endnote>
  <w:endnote w:type="continuationSeparator" w:id="0">
    <w:p w14:paraId="1D64A651" w14:textId="77777777" w:rsidR="00BE1A30" w:rsidRDefault="00BE1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8A7F" w14:textId="77777777" w:rsidR="007376CB" w:rsidRDefault="00BE1A30">
    <w:pPr>
      <w:spacing w:after="0" w:line="259" w:lineRule="auto"/>
      <w:ind w:left="0" w:right="-35" w:firstLine="0"/>
      <w:jc w:val="right"/>
    </w:pPr>
    <w:r>
      <w:fldChar w:fldCharType="begin"/>
    </w:r>
    <w:r>
      <w:instrText xml:space="preserve"> PAGE   \* MERGEFORMAT </w:instrText>
    </w:r>
    <w:r>
      <w:fldChar w:fldCharType="separate"/>
    </w:r>
    <w:r>
      <w:t>1</w:t>
    </w:r>
    <w: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902D" w14:textId="77777777" w:rsidR="007376CB" w:rsidRDefault="00BE1A30">
    <w:pPr>
      <w:spacing w:after="0" w:line="259" w:lineRule="auto"/>
      <w:ind w:left="0" w:right="-35" w:firstLine="0"/>
      <w:jc w:val="right"/>
    </w:pPr>
    <w:r>
      <w:fldChar w:fldCharType="begin"/>
    </w:r>
    <w:r>
      <w:instrText xml:space="preserve"> PAGE   \* MERGEFORMAT </w:instrText>
    </w:r>
    <w:r>
      <w:fldChar w:fldCharType="separate"/>
    </w:r>
    <w:r>
      <w:t>1</w:t>
    </w:r>
    <w: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8ED6" w14:textId="77777777" w:rsidR="007376CB" w:rsidRDefault="00BE1A30">
    <w:pPr>
      <w:spacing w:after="0" w:line="259" w:lineRule="auto"/>
      <w:ind w:left="0" w:right="-35" w:firstLine="0"/>
      <w:jc w:val="right"/>
    </w:pPr>
    <w:r>
      <w:fldChar w:fldCharType="begin"/>
    </w:r>
    <w:r>
      <w:instrText xml:space="preserve"> PAGE   \* MERGEFORMAT </w:instrText>
    </w:r>
    <w:r>
      <w:fldChar w:fldCharType="separate"/>
    </w:r>
    <w:r>
      <w:t>1</w:t>
    </w:r>
    <w: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334D3" w14:textId="77777777" w:rsidR="00BE1A30" w:rsidRDefault="00BE1A30">
      <w:pPr>
        <w:spacing w:after="0" w:line="240" w:lineRule="auto"/>
      </w:pPr>
      <w:r>
        <w:separator/>
      </w:r>
    </w:p>
  </w:footnote>
  <w:footnote w:type="continuationSeparator" w:id="0">
    <w:p w14:paraId="6476FC36" w14:textId="77777777" w:rsidR="00BE1A30" w:rsidRDefault="00BE1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10" w:tblpY="360"/>
      <w:tblOverlap w:val="never"/>
      <w:tblW w:w="12130" w:type="dxa"/>
      <w:tblInd w:w="0" w:type="dxa"/>
      <w:tblCellMar>
        <w:top w:w="11" w:type="dxa"/>
        <w:left w:w="251" w:type="dxa"/>
        <w:bottom w:w="181" w:type="dxa"/>
        <w:right w:w="599" w:type="dxa"/>
      </w:tblCellMar>
      <w:tblLook w:val="04A0" w:firstRow="1" w:lastRow="0" w:firstColumn="1" w:lastColumn="0" w:noHBand="0" w:noVBand="1"/>
    </w:tblPr>
    <w:tblGrid>
      <w:gridCol w:w="5327"/>
      <w:gridCol w:w="6803"/>
    </w:tblGrid>
    <w:tr w:rsidR="007376CB" w14:paraId="613FE60E" w14:textId="77777777">
      <w:trPr>
        <w:trHeight w:val="1621"/>
      </w:trPr>
      <w:tc>
        <w:tcPr>
          <w:tcW w:w="5327" w:type="dxa"/>
          <w:tcBorders>
            <w:top w:val="nil"/>
            <w:left w:val="nil"/>
            <w:bottom w:val="nil"/>
            <w:right w:val="nil"/>
          </w:tcBorders>
          <w:shd w:val="clear" w:color="auto" w:fill="999A87"/>
        </w:tcPr>
        <w:p w14:paraId="4A40B3D5" w14:textId="77777777" w:rsidR="007376CB" w:rsidRDefault="00BE1A30">
          <w:pPr>
            <w:spacing w:after="0" w:line="259" w:lineRule="auto"/>
            <w:ind w:left="575" w:firstLine="0"/>
          </w:pPr>
          <w:r>
            <w:rPr>
              <w:rFonts w:ascii="Times New Roman" w:eastAsia="Times New Roman" w:hAnsi="Times New Roman" w:cs="Times New Roman"/>
            </w:rPr>
            <w:t xml:space="preserve"> </w:t>
          </w:r>
          <w:r>
            <w:rPr>
              <w:noProof/>
            </w:rPr>
            <w:drawing>
              <wp:inline distT="0" distB="0" distL="0" distR="0" wp14:anchorId="715E89B7" wp14:editId="52D622C5">
                <wp:extent cx="1850390" cy="873760"/>
                <wp:effectExtent l="0" t="0" r="0" b="0"/>
                <wp:docPr id="122" name="Picture 122"/>
                <wp:cNvGraphicFramePr/>
                <a:graphic xmlns:a="http://schemas.openxmlformats.org/drawingml/2006/main">
                  <a:graphicData uri="http://schemas.openxmlformats.org/drawingml/2006/picture">
                    <pic:pic xmlns:pic="http://schemas.openxmlformats.org/drawingml/2006/picture">
                      <pic:nvPicPr>
                        <pic:cNvPr id="122" name="Picture 122"/>
                        <pic:cNvPicPr/>
                      </pic:nvPicPr>
                      <pic:blipFill>
                        <a:blip r:embed="rId1"/>
                        <a:stretch>
                          <a:fillRect/>
                        </a:stretch>
                      </pic:blipFill>
                      <pic:spPr>
                        <a:xfrm>
                          <a:off x="0" y="0"/>
                          <a:ext cx="1850390" cy="873760"/>
                        </a:xfrm>
                        <a:prstGeom prst="rect">
                          <a:avLst/>
                        </a:prstGeom>
                      </pic:spPr>
                    </pic:pic>
                  </a:graphicData>
                </a:graphic>
              </wp:inline>
            </w:drawing>
          </w:r>
        </w:p>
      </w:tc>
      <w:tc>
        <w:tcPr>
          <w:tcW w:w="6803" w:type="dxa"/>
          <w:tcBorders>
            <w:top w:val="nil"/>
            <w:left w:val="nil"/>
            <w:bottom w:val="nil"/>
            <w:right w:val="nil"/>
          </w:tcBorders>
          <w:shd w:val="clear" w:color="auto" w:fill="195867"/>
          <w:vAlign w:val="bottom"/>
        </w:tcPr>
        <w:p w14:paraId="2F3FCB3F" w14:textId="77777777" w:rsidR="007376CB" w:rsidRDefault="00BE1A30">
          <w:pPr>
            <w:spacing w:after="0" w:line="259" w:lineRule="auto"/>
            <w:ind w:left="0" w:right="86" w:firstLine="0"/>
            <w:jc w:val="right"/>
          </w:pPr>
          <w:r>
            <w:rPr>
              <w:b/>
              <w:color w:val="FFFFFF"/>
            </w:rPr>
            <w:t xml:space="preserve">WEEK 1 | 15% </w:t>
          </w:r>
        </w:p>
        <w:p w14:paraId="3D64F3B3" w14:textId="77777777" w:rsidR="007376CB" w:rsidRDefault="00BE1A30">
          <w:pPr>
            <w:spacing w:after="179" w:line="259" w:lineRule="auto"/>
            <w:ind w:left="0" w:right="45" w:firstLine="0"/>
            <w:jc w:val="right"/>
          </w:pPr>
          <w:r>
            <w:rPr>
              <w:b/>
              <w:color w:val="FFFFFF"/>
              <w:sz w:val="16"/>
            </w:rPr>
            <w:t xml:space="preserve"> </w:t>
          </w:r>
        </w:p>
        <w:p w14:paraId="64E5DC43" w14:textId="77777777" w:rsidR="007376CB" w:rsidRDefault="00BE1A30">
          <w:pPr>
            <w:spacing w:after="0" w:line="259" w:lineRule="auto"/>
            <w:ind w:left="0" w:firstLine="0"/>
          </w:pPr>
          <w:r>
            <w:rPr>
              <w:b/>
              <w:color w:val="FFFFFF"/>
              <w:sz w:val="36"/>
            </w:rPr>
            <w:t>1.4 Negotiation Worksheet Assignment</w:t>
          </w:r>
          <w:r>
            <w:rPr>
              <w:b/>
              <w:sz w:val="36"/>
            </w:rPr>
            <w:t xml:space="preserve"> </w:t>
          </w:r>
        </w:p>
      </w:tc>
    </w:tr>
  </w:tbl>
  <w:p w14:paraId="6B69A09E" w14:textId="77777777" w:rsidR="007376CB" w:rsidRDefault="007376CB">
    <w:pPr>
      <w:spacing w:after="0" w:line="259" w:lineRule="auto"/>
      <w:ind w:left="0" w:right="6409"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10" w:tblpY="360"/>
      <w:tblOverlap w:val="never"/>
      <w:tblW w:w="12130" w:type="dxa"/>
      <w:tblInd w:w="0" w:type="dxa"/>
      <w:tblCellMar>
        <w:top w:w="11" w:type="dxa"/>
        <w:left w:w="251" w:type="dxa"/>
        <w:bottom w:w="181" w:type="dxa"/>
        <w:right w:w="599" w:type="dxa"/>
      </w:tblCellMar>
      <w:tblLook w:val="04A0" w:firstRow="1" w:lastRow="0" w:firstColumn="1" w:lastColumn="0" w:noHBand="0" w:noVBand="1"/>
    </w:tblPr>
    <w:tblGrid>
      <w:gridCol w:w="5327"/>
      <w:gridCol w:w="6803"/>
    </w:tblGrid>
    <w:tr w:rsidR="007376CB" w14:paraId="1EEC8819" w14:textId="77777777">
      <w:trPr>
        <w:trHeight w:val="1621"/>
      </w:trPr>
      <w:tc>
        <w:tcPr>
          <w:tcW w:w="5327" w:type="dxa"/>
          <w:tcBorders>
            <w:top w:val="nil"/>
            <w:left w:val="nil"/>
            <w:bottom w:val="nil"/>
            <w:right w:val="nil"/>
          </w:tcBorders>
          <w:shd w:val="clear" w:color="auto" w:fill="999A87"/>
        </w:tcPr>
        <w:p w14:paraId="1805B7C9" w14:textId="77777777" w:rsidR="007376CB" w:rsidRDefault="00BE1A30">
          <w:pPr>
            <w:spacing w:after="0" w:line="259" w:lineRule="auto"/>
            <w:ind w:left="575" w:firstLine="0"/>
          </w:pPr>
          <w:r>
            <w:rPr>
              <w:rFonts w:ascii="Times New Roman" w:eastAsia="Times New Roman" w:hAnsi="Times New Roman" w:cs="Times New Roman"/>
            </w:rPr>
            <w:t xml:space="preserve"> </w:t>
          </w:r>
          <w:r>
            <w:rPr>
              <w:noProof/>
            </w:rPr>
            <w:drawing>
              <wp:inline distT="0" distB="0" distL="0" distR="0" wp14:anchorId="7C00D1FB" wp14:editId="46847209">
                <wp:extent cx="1850390" cy="873760"/>
                <wp:effectExtent l="0" t="0" r="0" b="0"/>
                <wp:docPr id="206596684" name="Picture 206596684"/>
                <wp:cNvGraphicFramePr/>
                <a:graphic xmlns:a="http://schemas.openxmlformats.org/drawingml/2006/main">
                  <a:graphicData uri="http://schemas.openxmlformats.org/drawingml/2006/picture">
                    <pic:pic xmlns:pic="http://schemas.openxmlformats.org/drawingml/2006/picture">
                      <pic:nvPicPr>
                        <pic:cNvPr id="122" name="Picture 122"/>
                        <pic:cNvPicPr/>
                      </pic:nvPicPr>
                      <pic:blipFill>
                        <a:blip r:embed="rId1"/>
                        <a:stretch>
                          <a:fillRect/>
                        </a:stretch>
                      </pic:blipFill>
                      <pic:spPr>
                        <a:xfrm>
                          <a:off x="0" y="0"/>
                          <a:ext cx="1850390" cy="873760"/>
                        </a:xfrm>
                        <a:prstGeom prst="rect">
                          <a:avLst/>
                        </a:prstGeom>
                      </pic:spPr>
                    </pic:pic>
                  </a:graphicData>
                </a:graphic>
              </wp:inline>
            </w:drawing>
          </w:r>
        </w:p>
      </w:tc>
      <w:tc>
        <w:tcPr>
          <w:tcW w:w="6803" w:type="dxa"/>
          <w:tcBorders>
            <w:top w:val="nil"/>
            <w:left w:val="nil"/>
            <w:bottom w:val="nil"/>
            <w:right w:val="nil"/>
          </w:tcBorders>
          <w:shd w:val="clear" w:color="auto" w:fill="195867"/>
          <w:vAlign w:val="bottom"/>
        </w:tcPr>
        <w:p w14:paraId="2E684DDF" w14:textId="77777777" w:rsidR="007376CB" w:rsidRDefault="00BE1A30">
          <w:pPr>
            <w:spacing w:after="0" w:line="259" w:lineRule="auto"/>
            <w:ind w:left="0" w:right="86" w:firstLine="0"/>
            <w:jc w:val="right"/>
          </w:pPr>
          <w:r>
            <w:rPr>
              <w:b/>
              <w:color w:val="FFFFFF"/>
            </w:rPr>
            <w:t xml:space="preserve">WEEK 1 | 15% </w:t>
          </w:r>
        </w:p>
        <w:p w14:paraId="72803229" w14:textId="77777777" w:rsidR="007376CB" w:rsidRDefault="00BE1A30">
          <w:pPr>
            <w:spacing w:after="179" w:line="259" w:lineRule="auto"/>
            <w:ind w:left="0" w:right="45" w:firstLine="0"/>
            <w:jc w:val="right"/>
          </w:pPr>
          <w:r>
            <w:rPr>
              <w:b/>
              <w:color w:val="FFFFFF"/>
              <w:sz w:val="16"/>
            </w:rPr>
            <w:t xml:space="preserve"> </w:t>
          </w:r>
        </w:p>
        <w:p w14:paraId="3B113A0B" w14:textId="77777777" w:rsidR="007376CB" w:rsidRDefault="00BE1A30">
          <w:pPr>
            <w:spacing w:after="0" w:line="259" w:lineRule="auto"/>
            <w:ind w:left="0" w:firstLine="0"/>
          </w:pPr>
          <w:r>
            <w:rPr>
              <w:b/>
              <w:color w:val="FFFFFF"/>
              <w:sz w:val="36"/>
            </w:rPr>
            <w:t>1.4 Negotiation Worksheet Assignment</w:t>
          </w:r>
          <w:r>
            <w:rPr>
              <w:b/>
              <w:sz w:val="36"/>
            </w:rPr>
            <w:t xml:space="preserve"> </w:t>
          </w:r>
        </w:p>
      </w:tc>
    </w:tr>
  </w:tbl>
  <w:p w14:paraId="732DE139" w14:textId="77777777" w:rsidR="007376CB" w:rsidRDefault="007376CB">
    <w:pPr>
      <w:spacing w:after="0" w:line="259" w:lineRule="auto"/>
      <w:ind w:left="0" w:right="6409"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10" w:tblpY="360"/>
      <w:tblOverlap w:val="never"/>
      <w:tblW w:w="12130" w:type="dxa"/>
      <w:tblInd w:w="0" w:type="dxa"/>
      <w:tblCellMar>
        <w:top w:w="11" w:type="dxa"/>
        <w:left w:w="251" w:type="dxa"/>
        <w:bottom w:w="181" w:type="dxa"/>
        <w:right w:w="599" w:type="dxa"/>
      </w:tblCellMar>
      <w:tblLook w:val="04A0" w:firstRow="1" w:lastRow="0" w:firstColumn="1" w:lastColumn="0" w:noHBand="0" w:noVBand="1"/>
    </w:tblPr>
    <w:tblGrid>
      <w:gridCol w:w="5327"/>
      <w:gridCol w:w="6803"/>
    </w:tblGrid>
    <w:tr w:rsidR="007376CB" w14:paraId="58069AD6" w14:textId="77777777">
      <w:trPr>
        <w:trHeight w:val="1621"/>
      </w:trPr>
      <w:tc>
        <w:tcPr>
          <w:tcW w:w="5327" w:type="dxa"/>
          <w:tcBorders>
            <w:top w:val="nil"/>
            <w:left w:val="nil"/>
            <w:bottom w:val="nil"/>
            <w:right w:val="nil"/>
          </w:tcBorders>
          <w:shd w:val="clear" w:color="auto" w:fill="999A87"/>
        </w:tcPr>
        <w:p w14:paraId="7E043553" w14:textId="77777777" w:rsidR="007376CB" w:rsidRDefault="00BE1A30">
          <w:pPr>
            <w:spacing w:after="0" w:line="259" w:lineRule="auto"/>
            <w:ind w:left="575" w:firstLine="0"/>
          </w:pPr>
          <w:r>
            <w:rPr>
              <w:rFonts w:ascii="Times New Roman" w:eastAsia="Times New Roman" w:hAnsi="Times New Roman" w:cs="Times New Roman"/>
            </w:rPr>
            <w:t xml:space="preserve"> </w:t>
          </w:r>
          <w:r>
            <w:rPr>
              <w:noProof/>
            </w:rPr>
            <w:drawing>
              <wp:inline distT="0" distB="0" distL="0" distR="0" wp14:anchorId="621793AA" wp14:editId="3D88DD24">
                <wp:extent cx="1850390" cy="873760"/>
                <wp:effectExtent l="0" t="0" r="0" b="0"/>
                <wp:docPr id="1094293094" name="Picture 1094293094"/>
                <wp:cNvGraphicFramePr/>
                <a:graphic xmlns:a="http://schemas.openxmlformats.org/drawingml/2006/main">
                  <a:graphicData uri="http://schemas.openxmlformats.org/drawingml/2006/picture">
                    <pic:pic xmlns:pic="http://schemas.openxmlformats.org/drawingml/2006/picture">
                      <pic:nvPicPr>
                        <pic:cNvPr id="122" name="Picture 122"/>
                        <pic:cNvPicPr/>
                      </pic:nvPicPr>
                      <pic:blipFill>
                        <a:blip r:embed="rId1"/>
                        <a:stretch>
                          <a:fillRect/>
                        </a:stretch>
                      </pic:blipFill>
                      <pic:spPr>
                        <a:xfrm>
                          <a:off x="0" y="0"/>
                          <a:ext cx="1850390" cy="873760"/>
                        </a:xfrm>
                        <a:prstGeom prst="rect">
                          <a:avLst/>
                        </a:prstGeom>
                      </pic:spPr>
                    </pic:pic>
                  </a:graphicData>
                </a:graphic>
              </wp:inline>
            </w:drawing>
          </w:r>
        </w:p>
      </w:tc>
      <w:tc>
        <w:tcPr>
          <w:tcW w:w="6803" w:type="dxa"/>
          <w:tcBorders>
            <w:top w:val="nil"/>
            <w:left w:val="nil"/>
            <w:bottom w:val="nil"/>
            <w:right w:val="nil"/>
          </w:tcBorders>
          <w:shd w:val="clear" w:color="auto" w:fill="195867"/>
          <w:vAlign w:val="bottom"/>
        </w:tcPr>
        <w:p w14:paraId="027E9D34" w14:textId="77777777" w:rsidR="007376CB" w:rsidRDefault="00BE1A30">
          <w:pPr>
            <w:spacing w:after="0" w:line="259" w:lineRule="auto"/>
            <w:ind w:left="0" w:right="86" w:firstLine="0"/>
            <w:jc w:val="right"/>
          </w:pPr>
          <w:r>
            <w:rPr>
              <w:b/>
              <w:color w:val="FFFFFF"/>
            </w:rPr>
            <w:t xml:space="preserve">WEEK 1 | 15% </w:t>
          </w:r>
        </w:p>
        <w:p w14:paraId="4E618485" w14:textId="77777777" w:rsidR="007376CB" w:rsidRDefault="00BE1A30">
          <w:pPr>
            <w:spacing w:after="179" w:line="259" w:lineRule="auto"/>
            <w:ind w:left="0" w:right="45" w:firstLine="0"/>
            <w:jc w:val="right"/>
          </w:pPr>
          <w:r>
            <w:rPr>
              <w:b/>
              <w:color w:val="FFFFFF"/>
              <w:sz w:val="16"/>
            </w:rPr>
            <w:t xml:space="preserve"> </w:t>
          </w:r>
        </w:p>
        <w:p w14:paraId="0E25B7BE" w14:textId="77777777" w:rsidR="007376CB" w:rsidRDefault="00BE1A30">
          <w:pPr>
            <w:spacing w:after="0" w:line="259" w:lineRule="auto"/>
            <w:ind w:left="0" w:firstLine="0"/>
          </w:pPr>
          <w:r>
            <w:rPr>
              <w:b/>
              <w:color w:val="FFFFFF"/>
              <w:sz w:val="36"/>
            </w:rPr>
            <w:t xml:space="preserve">1.4 </w:t>
          </w:r>
          <w:r>
            <w:rPr>
              <w:b/>
              <w:color w:val="FFFFFF"/>
              <w:sz w:val="36"/>
            </w:rPr>
            <w:t>Negotiation Worksheet Assignment</w:t>
          </w:r>
          <w:r>
            <w:rPr>
              <w:b/>
              <w:sz w:val="36"/>
            </w:rPr>
            <w:t xml:space="preserve"> </w:t>
          </w:r>
        </w:p>
      </w:tc>
    </w:tr>
  </w:tbl>
  <w:p w14:paraId="106EE108" w14:textId="77777777" w:rsidR="007376CB" w:rsidRDefault="007376CB">
    <w:pPr>
      <w:spacing w:after="0" w:line="259" w:lineRule="auto"/>
      <w:ind w:left="0" w:right="6409"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836650"/>
    <w:multiLevelType w:val="hybridMultilevel"/>
    <w:tmpl w:val="8C284BD0"/>
    <w:lvl w:ilvl="0" w:tplc="F36E692C">
      <w:start w:val="1"/>
      <w:numFmt w:val="decimal"/>
      <w:lvlText w:val="%1."/>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B0A194A">
      <w:start w:val="1"/>
      <w:numFmt w:val="lowerLetter"/>
      <w:lvlText w:val="%2"/>
      <w:lvlJc w:val="left"/>
      <w:pPr>
        <w:ind w:left="2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B0A9EC4">
      <w:start w:val="1"/>
      <w:numFmt w:val="lowerRoman"/>
      <w:lvlText w:val="%3"/>
      <w:lvlJc w:val="left"/>
      <w:pPr>
        <w:ind w:left="2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38357A">
      <w:start w:val="1"/>
      <w:numFmt w:val="decimal"/>
      <w:lvlText w:val="%4"/>
      <w:lvlJc w:val="left"/>
      <w:pPr>
        <w:ind w:left="3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FE8E76">
      <w:start w:val="1"/>
      <w:numFmt w:val="lowerLetter"/>
      <w:lvlText w:val="%5"/>
      <w:lvlJc w:val="left"/>
      <w:pPr>
        <w:ind w:left="4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312237C">
      <w:start w:val="1"/>
      <w:numFmt w:val="lowerRoman"/>
      <w:lvlText w:val="%6"/>
      <w:lvlJc w:val="left"/>
      <w:pPr>
        <w:ind w:left="5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E1E846A">
      <w:start w:val="1"/>
      <w:numFmt w:val="decimal"/>
      <w:lvlText w:val="%7"/>
      <w:lvlJc w:val="left"/>
      <w:pPr>
        <w:ind w:left="5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D8A3858">
      <w:start w:val="1"/>
      <w:numFmt w:val="lowerLetter"/>
      <w:lvlText w:val="%8"/>
      <w:lvlJc w:val="left"/>
      <w:pPr>
        <w:ind w:left="6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52BB4E">
      <w:start w:val="1"/>
      <w:numFmt w:val="lowerRoman"/>
      <w:lvlText w:val="%9"/>
      <w:lvlJc w:val="left"/>
      <w:pPr>
        <w:ind w:left="7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497698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6CB"/>
    <w:rsid w:val="007376CB"/>
    <w:rsid w:val="0081663B"/>
    <w:rsid w:val="00896D3D"/>
    <w:rsid w:val="00B33D80"/>
    <w:rsid w:val="00BD2FA4"/>
    <w:rsid w:val="00BE1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5B399"/>
  <w15:docId w15:val="{BAB2AD82-2B89-CC46-9A00-8974893F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360" w:lineRule="auto"/>
      <w:ind w:left="2531" w:hanging="370"/>
    </w:pPr>
    <w:rPr>
      <w:rFonts w:ascii="Calibri" w:eastAsia="Calibri" w:hAnsi="Calibri" w:cs="Calibri"/>
      <w:color w:val="000000"/>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B33D80"/>
    <w:rPr>
      <w:rFonts w:ascii="Times New Roman" w:hAnsi="Times New Roman" w:cs="Times New Roman"/>
    </w:rPr>
  </w:style>
  <w:style w:type="character" w:styleId="Strong">
    <w:name w:val="Strong"/>
    <w:basedOn w:val="DefaultParagraphFont"/>
    <w:uiPriority w:val="22"/>
    <w:qFormat/>
    <w:rsid w:val="00B33D80"/>
    <w:rPr>
      <w:b/>
      <w:bCs/>
    </w:rPr>
  </w:style>
  <w:style w:type="paragraph" w:styleId="ListParagraph">
    <w:name w:val="List Paragraph"/>
    <w:basedOn w:val="Normal"/>
    <w:uiPriority w:val="34"/>
    <w:qFormat/>
    <w:rsid w:val="00B33D80"/>
    <w:pPr>
      <w:ind w:left="720"/>
      <w:contextualSpacing/>
    </w:pPr>
  </w:style>
  <w:style w:type="character" w:styleId="Emphasis">
    <w:name w:val="Emphasis"/>
    <w:basedOn w:val="DefaultParagraphFont"/>
    <w:uiPriority w:val="20"/>
    <w:qFormat/>
    <w:rsid w:val="008166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1234</Words>
  <Characters>6615</Characters>
  <Application>Microsoft Office Word</Application>
  <DocSecurity>0</DocSecurity>
  <Lines>245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Stewart</dc:creator>
  <cp:keywords/>
  <cp:lastModifiedBy>Kyleigh Way</cp:lastModifiedBy>
  <cp:revision>2</cp:revision>
  <dcterms:created xsi:type="dcterms:W3CDTF">2026-04-07T22:12:00Z</dcterms:created>
  <dcterms:modified xsi:type="dcterms:W3CDTF">2026-04-07T22:12:00Z</dcterms:modified>
</cp:coreProperties>
</file>